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E" w:rsidRDefault="00B671BD" w:rsidP="00667217">
      <w:pPr>
        <w:jc w:val="both"/>
        <w:rPr>
          <w:rFonts w:ascii="Times New Roman" w:hAnsi="Times New Roman"/>
          <w:sz w:val="24"/>
          <w:szCs w:val="24"/>
          <w:lang w:val="fr-BE"/>
        </w:rPr>
      </w:pPr>
      <w:bookmarkStart w:id="0" w:name="_GoBack"/>
      <w:bookmarkEnd w:id="0"/>
    </w:p>
    <w:p w:rsidR="00067E9E" w:rsidRPr="00CC4AEB" w:rsidRDefault="00067E9E" w:rsidP="00667217">
      <w:pPr>
        <w:jc w:val="both"/>
        <w:rPr>
          <w:rFonts w:ascii="Times New Roman" w:hAnsi="Times New Roman"/>
          <w:sz w:val="24"/>
          <w:szCs w:val="24"/>
          <w:lang w:val="fr-BE"/>
        </w:rPr>
      </w:pPr>
    </w:p>
    <w:p w:rsidR="00824F59" w:rsidRPr="00F45BB6" w:rsidRDefault="00824F59" w:rsidP="00824F59">
      <w:pPr>
        <w:shd w:val="clear" w:color="auto" w:fill="F2DBDB" w:themeFill="accent2" w:themeFillTint="33"/>
        <w:jc w:val="both"/>
        <w:rPr>
          <w:rFonts w:ascii="Times New Roman" w:hAnsi="Times New Roman"/>
          <w:b/>
          <w:sz w:val="28"/>
          <w:szCs w:val="24"/>
        </w:rPr>
      </w:pPr>
      <w:r w:rsidRPr="00F45BB6">
        <w:rPr>
          <w:rFonts w:ascii="Times New Roman" w:hAnsi="Times New Roman"/>
          <w:b/>
          <w:sz w:val="28"/>
          <w:szCs w:val="24"/>
        </w:rPr>
        <w:t>Introduction</w:t>
      </w:r>
    </w:p>
    <w:p w:rsidR="00F45BB6" w:rsidRPr="00F45BB6" w:rsidRDefault="00F45BB6" w:rsidP="00824F59">
      <w:pPr>
        <w:shd w:val="clear" w:color="auto" w:fill="F2DBDB" w:themeFill="accent2" w:themeFillTint="33"/>
        <w:jc w:val="both"/>
        <w:rPr>
          <w:rFonts w:ascii="Times New Roman" w:hAnsi="Times New Roman"/>
          <w:b/>
          <w:sz w:val="18"/>
          <w:szCs w:val="18"/>
        </w:rPr>
      </w:pPr>
    </w:p>
    <w:p w:rsidR="00824F59" w:rsidRDefault="00824F59" w:rsidP="00667217">
      <w:pPr>
        <w:jc w:val="both"/>
        <w:rPr>
          <w:rFonts w:ascii="Times New Roman" w:hAnsi="Times New Roman"/>
          <w:sz w:val="24"/>
          <w:szCs w:val="24"/>
        </w:rPr>
      </w:pPr>
    </w:p>
    <w:p w:rsidR="00CC4AEB" w:rsidRPr="00CC4AEB" w:rsidRDefault="00FE3E63" w:rsidP="00667217">
      <w:pPr>
        <w:jc w:val="both"/>
        <w:rPr>
          <w:rFonts w:ascii="Times New Roman" w:hAnsi="Times New Roman"/>
          <w:sz w:val="24"/>
          <w:szCs w:val="24"/>
        </w:rPr>
      </w:pPr>
      <w:r>
        <w:rPr>
          <w:rFonts w:ascii="Times New Roman" w:hAnsi="Times New Roman"/>
          <w:sz w:val="24"/>
          <w:szCs w:val="24"/>
        </w:rPr>
        <w:t xml:space="preserve">In order to simplify the implementation of the </w:t>
      </w:r>
      <w:r w:rsidR="00CC4AEB" w:rsidRPr="00CC4AEB">
        <w:rPr>
          <w:rFonts w:ascii="Times New Roman" w:hAnsi="Times New Roman"/>
          <w:sz w:val="24"/>
          <w:szCs w:val="24"/>
        </w:rPr>
        <w:t xml:space="preserve">new </w:t>
      </w:r>
      <w:r w:rsidR="00CC4AEB" w:rsidRPr="00CC4AEB">
        <w:rPr>
          <w:rFonts w:ascii="Times New Roman" w:hAnsi="Times New Roman"/>
          <w:b/>
          <w:sz w:val="24"/>
          <w:szCs w:val="24"/>
        </w:rPr>
        <w:t>lump sum model</w:t>
      </w:r>
      <w:r w:rsidR="00CC4AEB">
        <w:rPr>
          <w:rFonts w:ascii="Times New Roman" w:hAnsi="Times New Roman"/>
          <w:b/>
          <w:sz w:val="24"/>
          <w:szCs w:val="24"/>
        </w:rPr>
        <w:t xml:space="preserve"> grant agreement</w:t>
      </w:r>
      <w:r w:rsidRPr="00FE3E63">
        <w:rPr>
          <w:rFonts w:ascii="Times New Roman" w:hAnsi="Times New Roman"/>
          <w:sz w:val="24"/>
          <w:szCs w:val="24"/>
        </w:rPr>
        <w:t>,</w:t>
      </w:r>
      <w:r w:rsidR="00CC4AEB" w:rsidRPr="00CC4AEB">
        <w:rPr>
          <w:rFonts w:ascii="Times New Roman" w:hAnsi="Times New Roman"/>
          <w:sz w:val="24"/>
          <w:szCs w:val="24"/>
        </w:rPr>
        <w:t xml:space="preserve"> </w:t>
      </w:r>
      <w:r>
        <w:rPr>
          <w:rFonts w:ascii="Times New Roman" w:hAnsi="Times New Roman"/>
          <w:sz w:val="24"/>
          <w:szCs w:val="24"/>
        </w:rPr>
        <w:t>the model has been drafted aiming at:</w:t>
      </w:r>
    </w:p>
    <w:p w:rsidR="00CC4AEB" w:rsidRPr="00CC4AEB" w:rsidRDefault="00CC4AEB" w:rsidP="00667217">
      <w:pPr>
        <w:jc w:val="both"/>
        <w:rPr>
          <w:rFonts w:ascii="Times New Roman" w:hAnsi="Times New Roman"/>
          <w:sz w:val="24"/>
          <w:szCs w:val="24"/>
        </w:rPr>
      </w:pPr>
    </w:p>
    <w:p w:rsidR="00CC4AEB" w:rsidRDefault="00FE3E63" w:rsidP="00CC4AEB">
      <w:pPr>
        <w:pStyle w:val="ListParagraph"/>
        <w:numPr>
          <w:ilvl w:val="0"/>
          <w:numId w:val="7"/>
        </w:numPr>
        <w:jc w:val="both"/>
        <w:rPr>
          <w:rFonts w:ascii="Times New Roman" w:hAnsi="Times New Roman"/>
          <w:sz w:val="24"/>
          <w:szCs w:val="24"/>
        </w:rPr>
      </w:pPr>
      <w:r w:rsidRPr="00FE3E63">
        <w:rPr>
          <w:rFonts w:ascii="Times New Roman" w:hAnsi="Times New Roman"/>
          <w:sz w:val="24"/>
          <w:szCs w:val="24"/>
        </w:rPr>
        <w:t>Keeping it</w:t>
      </w:r>
      <w:r w:rsidR="00CC4AEB" w:rsidRPr="00FE3E63">
        <w:rPr>
          <w:rFonts w:ascii="Times New Roman" w:hAnsi="Times New Roman"/>
          <w:sz w:val="24"/>
          <w:szCs w:val="24"/>
        </w:rPr>
        <w:t xml:space="preserve"> as similar as possible to the </w:t>
      </w:r>
      <w:r w:rsidR="00824F59">
        <w:rPr>
          <w:rFonts w:ascii="Times New Roman" w:hAnsi="Times New Roman"/>
          <w:sz w:val="24"/>
          <w:szCs w:val="24"/>
        </w:rPr>
        <w:t>g</w:t>
      </w:r>
      <w:r w:rsidR="00CC4AEB" w:rsidRPr="00FE3E63">
        <w:rPr>
          <w:rFonts w:ascii="Times New Roman" w:hAnsi="Times New Roman"/>
          <w:sz w:val="24"/>
          <w:szCs w:val="24"/>
        </w:rPr>
        <w:t>eneral model grant agreement</w:t>
      </w:r>
      <w:r w:rsidR="000158E5">
        <w:rPr>
          <w:rFonts w:ascii="Times New Roman" w:hAnsi="Times New Roman"/>
          <w:sz w:val="24"/>
          <w:szCs w:val="24"/>
        </w:rPr>
        <w:t>, so that changes are limited to those necessary to implement the grant via a lump sum;</w:t>
      </w:r>
    </w:p>
    <w:p w:rsidR="00FE3E63" w:rsidRPr="00FE3E63" w:rsidRDefault="00FE3E63" w:rsidP="00FE3E63">
      <w:pPr>
        <w:pStyle w:val="ListParagraph"/>
        <w:jc w:val="both"/>
        <w:rPr>
          <w:rFonts w:ascii="Times New Roman" w:hAnsi="Times New Roman"/>
          <w:sz w:val="24"/>
          <w:szCs w:val="24"/>
        </w:rPr>
      </w:pPr>
    </w:p>
    <w:p w:rsidR="00CC4AEB" w:rsidRPr="00CC4AEB" w:rsidRDefault="00FE3E63" w:rsidP="00CC4AEB">
      <w:pPr>
        <w:pStyle w:val="ListParagraph"/>
        <w:numPr>
          <w:ilvl w:val="0"/>
          <w:numId w:val="7"/>
        </w:numPr>
        <w:jc w:val="both"/>
        <w:rPr>
          <w:rFonts w:ascii="Times New Roman" w:hAnsi="Times New Roman"/>
          <w:sz w:val="24"/>
          <w:szCs w:val="24"/>
        </w:rPr>
      </w:pPr>
      <w:r>
        <w:rPr>
          <w:rFonts w:ascii="Times New Roman" w:hAnsi="Times New Roman"/>
          <w:sz w:val="24"/>
          <w:szCs w:val="24"/>
        </w:rPr>
        <w:t>Making it</w:t>
      </w:r>
      <w:r w:rsidR="00CC4AEB" w:rsidRPr="00CC4AEB">
        <w:rPr>
          <w:rFonts w:ascii="Times New Roman" w:hAnsi="Times New Roman"/>
          <w:sz w:val="24"/>
          <w:szCs w:val="24"/>
        </w:rPr>
        <w:t xml:space="preserve"> compatible with the current IT applications</w:t>
      </w:r>
      <w:r w:rsidR="000158E5">
        <w:rPr>
          <w:rFonts w:ascii="Times New Roman" w:hAnsi="Times New Roman"/>
          <w:sz w:val="24"/>
          <w:szCs w:val="24"/>
        </w:rPr>
        <w:t xml:space="preserve"> and business processes</w:t>
      </w:r>
      <w:r>
        <w:rPr>
          <w:rFonts w:ascii="Times New Roman" w:hAnsi="Times New Roman"/>
          <w:sz w:val="24"/>
          <w:szCs w:val="24"/>
        </w:rPr>
        <w:t>,</w:t>
      </w:r>
      <w:r w:rsidR="00CC4AEB" w:rsidRPr="00CC4AEB">
        <w:rPr>
          <w:rFonts w:ascii="Times New Roman" w:hAnsi="Times New Roman"/>
          <w:sz w:val="24"/>
          <w:szCs w:val="24"/>
        </w:rPr>
        <w:t xml:space="preserve"> so </w:t>
      </w:r>
      <w:r>
        <w:rPr>
          <w:rFonts w:ascii="Times New Roman" w:hAnsi="Times New Roman"/>
          <w:sz w:val="24"/>
          <w:szCs w:val="24"/>
        </w:rPr>
        <w:t>that</w:t>
      </w:r>
      <w:r w:rsidR="00CC4AEB" w:rsidRPr="00CC4AEB">
        <w:rPr>
          <w:rFonts w:ascii="Times New Roman" w:hAnsi="Times New Roman"/>
          <w:sz w:val="24"/>
          <w:szCs w:val="24"/>
        </w:rPr>
        <w:t xml:space="preserve"> </w:t>
      </w:r>
      <w:r w:rsidR="00824F59">
        <w:rPr>
          <w:rFonts w:ascii="Times New Roman" w:hAnsi="Times New Roman"/>
          <w:sz w:val="24"/>
          <w:szCs w:val="24"/>
        </w:rPr>
        <w:t>the new model</w:t>
      </w:r>
      <w:r w:rsidR="00CC4AEB" w:rsidRPr="00CC4AEB">
        <w:rPr>
          <w:rFonts w:ascii="Times New Roman" w:hAnsi="Times New Roman"/>
          <w:sz w:val="24"/>
          <w:szCs w:val="24"/>
        </w:rPr>
        <w:t xml:space="preserve"> can be quickly supported by them</w:t>
      </w:r>
      <w:r>
        <w:rPr>
          <w:rFonts w:ascii="Times New Roman" w:hAnsi="Times New Roman"/>
          <w:sz w:val="24"/>
          <w:szCs w:val="24"/>
        </w:rPr>
        <w:t>.</w:t>
      </w:r>
    </w:p>
    <w:p w:rsidR="00CC4AEB" w:rsidRPr="00CC4AEB" w:rsidRDefault="00CC4AEB" w:rsidP="00667217">
      <w:pPr>
        <w:jc w:val="both"/>
        <w:rPr>
          <w:rFonts w:ascii="Times New Roman" w:hAnsi="Times New Roman"/>
          <w:sz w:val="24"/>
          <w:szCs w:val="24"/>
        </w:rPr>
      </w:pPr>
    </w:p>
    <w:p w:rsidR="00F45BB6" w:rsidRDefault="00CD1456" w:rsidP="00667217">
      <w:pPr>
        <w:jc w:val="both"/>
        <w:rPr>
          <w:rFonts w:ascii="Times New Roman" w:hAnsi="Times New Roman"/>
          <w:sz w:val="24"/>
          <w:szCs w:val="24"/>
        </w:rPr>
      </w:pPr>
      <w:r>
        <w:rPr>
          <w:rFonts w:ascii="Times New Roman" w:hAnsi="Times New Roman"/>
          <w:sz w:val="24"/>
          <w:szCs w:val="24"/>
        </w:rPr>
        <w:t>Each</w:t>
      </w:r>
      <w:r w:rsidR="00F45BB6">
        <w:rPr>
          <w:rFonts w:ascii="Times New Roman" w:hAnsi="Times New Roman"/>
          <w:sz w:val="24"/>
          <w:szCs w:val="24"/>
        </w:rPr>
        <w:t xml:space="preserve"> Grant Agreement will set up the lump sum corresponding to the full accomplishment of the wo</w:t>
      </w:r>
      <w:r w:rsidR="000158E5">
        <w:rPr>
          <w:rFonts w:ascii="Times New Roman" w:hAnsi="Times New Roman"/>
          <w:sz w:val="24"/>
          <w:szCs w:val="24"/>
        </w:rPr>
        <w:t xml:space="preserve">rk committed by the consortium </w:t>
      </w:r>
      <w:r w:rsidR="007627E0">
        <w:rPr>
          <w:rFonts w:ascii="Times New Roman" w:hAnsi="Times New Roman"/>
          <w:sz w:val="24"/>
          <w:szCs w:val="24"/>
        </w:rPr>
        <w:t>in</w:t>
      </w:r>
      <w:r w:rsidR="00F45BB6">
        <w:rPr>
          <w:rFonts w:ascii="Times New Roman" w:hAnsi="Times New Roman"/>
          <w:sz w:val="24"/>
          <w:szCs w:val="24"/>
        </w:rPr>
        <w:t xml:space="preserve"> Annex 1. </w:t>
      </w:r>
      <w:r w:rsidR="00182481">
        <w:rPr>
          <w:rFonts w:ascii="Times New Roman" w:hAnsi="Times New Roman"/>
          <w:sz w:val="24"/>
          <w:szCs w:val="24"/>
        </w:rPr>
        <w:t>Once the lump sum for the grant is set up</w:t>
      </w:r>
      <w:r w:rsidR="007627E0">
        <w:rPr>
          <w:rFonts w:ascii="Times New Roman" w:hAnsi="Times New Roman"/>
          <w:sz w:val="24"/>
          <w:szCs w:val="24"/>
        </w:rPr>
        <w:t xml:space="preserve"> at its signature</w:t>
      </w:r>
      <w:r w:rsidR="00182481">
        <w:rPr>
          <w:rFonts w:ascii="Times New Roman" w:hAnsi="Times New Roman"/>
          <w:sz w:val="24"/>
          <w:szCs w:val="24"/>
        </w:rPr>
        <w:t xml:space="preserve">, the costs actually incurred are not relevant. </w:t>
      </w:r>
      <w:r w:rsidR="007627E0">
        <w:rPr>
          <w:rFonts w:ascii="Times New Roman" w:hAnsi="Times New Roman"/>
          <w:sz w:val="24"/>
          <w:szCs w:val="24"/>
        </w:rPr>
        <w:t>However, the grant must identify who will do what part of the work of Annex 1 (i.e. beneficiaries, linked third parties, subcontractors and international partners).</w:t>
      </w:r>
    </w:p>
    <w:p w:rsidR="00F45BB6" w:rsidRDefault="00F45BB6" w:rsidP="00667217">
      <w:pPr>
        <w:jc w:val="both"/>
        <w:rPr>
          <w:rFonts w:ascii="Times New Roman" w:hAnsi="Times New Roman"/>
          <w:sz w:val="24"/>
          <w:szCs w:val="24"/>
        </w:rPr>
      </w:pPr>
    </w:p>
    <w:p w:rsidR="000158E5" w:rsidRDefault="00F45BB6" w:rsidP="00667217">
      <w:pPr>
        <w:jc w:val="both"/>
        <w:rPr>
          <w:rFonts w:ascii="Times New Roman" w:hAnsi="Times New Roman"/>
          <w:sz w:val="24"/>
          <w:szCs w:val="24"/>
        </w:rPr>
      </w:pPr>
      <w:r>
        <w:rPr>
          <w:rFonts w:ascii="Times New Roman" w:hAnsi="Times New Roman"/>
          <w:sz w:val="24"/>
          <w:szCs w:val="24"/>
        </w:rPr>
        <w:t>Annex 2 will be a breakdown of th</w:t>
      </w:r>
      <w:r w:rsidR="007627E0">
        <w:rPr>
          <w:rFonts w:ascii="Times New Roman" w:hAnsi="Times New Roman"/>
          <w:sz w:val="24"/>
          <w:szCs w:val="24"/>
        </w:rPr>
        <w:t>e</w:t>
      </w:r>
      <w:r>
        <w:rPr>
          <w:rFonts w:ascii="Times New Roman" w:hAnsi="Times New Roman"/>
          <w:sz w:val="24"/>
          <w:szCs w:val="24"/>
        </w:rPr>
        <w:t xml:space="preserve"> lump sum</w:t>
      </w:r>
      <w:r w:rsidR="007627E0">
        <w:rPr>
          <w:rFonts w:ascii="Times New Roman" w:hAnsi="Times New Roman"/>
          <w:sz w:val="24"/>
          <w:szCs w:val="24"/>
        </w:rPr>
        <w:t xml:space="preserve"> set up for the grant</w:t>
      </w:r>
      <w:r>
        <w:rPr>
          <w:rFonts w:ascii="Times New Roman" w:hAnsi="Times New Roman"/>
          <w:sz w:val="24"/>
          <w:szCs w:val="24"/>
        </w:rPr>
        <w:t>. The breakdown will be</w:t>
      </w:r>
      <w:r w:rsidR="000158E5">
        <w:rPr>
          <w:rFonts w:ascii="Times New Roman" w:hAnsi="Times New Roman"/>
          <w:sz w:val="24"/>
          <w:szCs w:val="24"/>
        </w:rPr>
        <w:t xml:space="preserve"> </w:t>
      </w:r>
      <w:r w:rsidR="007627E0">
        <w:rPr>
          <w:rFonts w:ascii="Times New Roman" w:hAnsi="Times New Roman"/>
          <w:sz w:val="24"/>
          <w:szCs w:val="24"/>
        </w:rPr>
        <w:t>detailed</w:t>
      </w:r>
      <w:r w:rsidR="000158E5">
        <w:rPr>
          <w:rFonts w:ascii="Times New Roman" w:hAnsi="Times New Roman"/>
          <w:sz w:val="24"/>
          <w:szCs w:val="24"/>
        </w:rPr>
        <w:t>:</w:t>
      </w:r>
    </w:p>
    <w:p w:rsidR="000158E5" w:rsidRDefault="000158E5" w:rsidP="00667217">
      <w:pPr>
        <w:jc w:val="both"/>
        <w:rPr>
          <w:rFonts w:ascii="Times New Roman" w:hAnsi="Times New Roman"/>
          <w:sz w:val="24"/>
          <w:szCs w:val="24"/>
        </w:rPr>
      </w:pPr>
    </w:p>
    <w:p w:rsidR="000158E5" w:rsidRDefault="000158E5" w:rsidP="000158E5">
      <w:pPr>
        <w:pStyle w:val="ListParagraph"/>
        <w:numPr>
          <w:ilvl w:val="0"/>
          <w:numId w:val="7"/>
        </w:numPr>
        <w:jc w:val="both"/>
        <w:rPr>
          <w:rFonts w:ascii="Times New Roman" w:hAnsi="Times New Roman"/>
          <w:sz w:val="24"/>
          <w:szCs w:val="24"/>
        </w:rPr>
      </w:pPr>
      <w:r>
        <w:rPr>
          <w:rFonts w:ascii="Times New Roman" w:hAnsi="Times New Roman"/>
          <w:sz w:val="24"/>
          <w:szCs w:val="24"/>
        </w:rPr>
        <w:t>P</w:t>
      </w:r>
      <w:r w:rsidR="00F45BB6" w:rsidRPr="000158E5">
        <w:rPr>
          <w:rFonts w:ascii="Times New Roman" w:hAnsi="Times New Roman"/>
          <w:sz w:val="24"/>
          <w:szCs w:val="24"/>
        </w:rPr>
        <w:t>er Work Package ('WP')</w:t>
      </w:r>
      <w:r>
        <w:rPr>
          <w:rFonts w:ascii="Times New Roman" w:hAnsi="Times New Roman"/>
          <w:sz w:val="24"/>
          <w:szCs w:val="24"/>
        </w:rPr>
        <w:t>: a share of the lump sum will be assigned to each WP</w:t>
      </w:r>
      <w:r w:rsidRPr="000158E5">
        <w:rPr>
          <w:rFonts w:ascii="Times New Roman" w:hAnsi="Times New Roman"/>
          <w:sz w:val="24"/>
          <w:szCs w:val="24"/>
        </w:rPr>
        <w:t xml:space="preserve"> </w:t>
      </w:r>
      <w:r>
        <w:rPr>
          <w:rFonts w:ascii="Times New Roman" w:hAnsi="Times New Roman"/>
          <w:sz w:val="24"/>
          <w:szCs w:val="24"/>
        </w:rPr>
        <w:t>based on the budget of the proposal. That share is the amount to be declared to the Commission/Agency once the WP is completed.</w:t>
      </w:r>
    </w:p>
    <w:p w:rsidR="000158E5" w:rsidRDefault="000158E5" w:rsidP="000158E5">
      <w:pPr>
        <w:pStyle w:val="ListParagraph"/>
        <w:jc w:val="both"/>
        <w:rPr>
          <w:rFonts w:ascii="Times New Roman" w:hAnsi="Times New Roman"/>
          <w:sz w:val="24"/>
          <w:szCs w:val="24"/>
        </w:rPr>
      </w:pPr>
    </w:p>
    <w:p w:rsidR="00F45BB6" w:rsidRPr="000158E5" w:rsidRDefault="000158E5" w:rsidP="000158E5">
      <w:pPr>
        <w:pStyle w:val="ListParagraph"/>
        <w:numPr>
          <w:ilvl w:val="0"/>
          <w:numId w:val="7"/>
        </w:numPr>
        <w:jc w:val="both"/>
        <w:rPr>
          <w:rFonts w:ascii="Times New Roman" w:hAnsi="Times New Roman"/>
          <w:sz w:val="24"/>
          <w:szCs w:val="24"/>
        </w:rPr>
      </w:pPr>
      <w:r>
        <w:rPr>
          <w:rFonts w:ascii="Times New Roman" w:hAnsi="Times New Roman"/>
          <w:sz w:val="24"/>
          <w:szCs w:val="24"/>
        </w:rPr>
        <w:t>Per beneficiary: which sets up the amount to be declared by each beneficiary for each WP completed. That amount corresponds also to the liability of the beneficiary in case of recovery after the payment of the balance (e.g. in case that an ex-post technical audit rejects a WP for which the participation of the beneficiary was indicated).</w:t>
      </w:r>
      <w:r w:rsidR="00C61EA6">
        <w:rPr>
          <w:rFonts w:ascii="Times New Roman" w:hAnsi="Times New Roman"/>
          <w:sz w:val="24"/>
          <w:szCs w:val="24"/>
        </w:rPr>
        <w:t xml:space="preserve"> </w:t>
      </w:r>
    </w:p>
    <w:p w:rsidR="00F45BB6" w:rsidRDefault="00F45BB6" w:rsidP="00667217">
      <w:pPr>
        <w:jc w:val="both"/>
        <w:rPr>
          <w:rFonts w:ascii="Times New Roman" w:hAnsi="Times New Roman"/>
          <w:sz w:val="24"/>
          <w:szCs w:val="24"/>
        </w:rPr>
      </w:pPr>
    </w:p>
    <w:p w:rsidR="00067E9E" w:rsidRPr="00CC4AEB" w:rsidRDefault="00067E9E" w:rsidP="00667217">
      <w:pPr>
        <w:jc w:val="both"/>
        <w:rPr>
          <w:rFonts w:ascii="Times New Roman" w:hAnsi="Times New Roman"/>
          <w:sz w:val="24"/>
          <w:szCs w:val="24"/>
        </w:rPr>
      </w:pPr>
    </w:p>
    <w:p w:rsidR="00CC4AEB" w:rsidRPr="00CC4AEB" w:rsidRDefault="00CC4AEB" w:rsidP="00667217">
      <w:pPr>
        <w:jc w:val="both"/>
        <w:rPr>
          <w:rFonts w:ascii="Times New Roman" w:hAnsi="Times New Roman"/>
          <w:sz w:val="24"/>
          <w:szCs w:val="24"/>
        </w:rPr>
      </w:pPr>
    </w:p>
    <w:p w:rsidR="003272AF" w:rsidRPr="00F45BB6" w:rsidRDefault="0002220F" w:rsidP="00CC4AEB">
      <w:pPr>
        <w:shd w:val="clear" w:color="auto" w:fill="F2DBDB" w:themeFill="accent2" w:themeFillTint="33"/>
        <w:jc w:val="both"/>
        <w:rPr>
          <w:rFonts w:ascii="Times New Roman" w:hAnsi="Times New Roman"/>
          <w:b/>
          <w:sz w:val="28"/>
          <w:szCs w:val="24"/>
        </w:rPr>
      </w:pPr>
      <w:r w:rsidRPr="00F45BB6">
        <w:rPr>
          <w:rFonts w:ascii="Times New Roman" w:hAnsi="Times New Roman"/>
          <w:b/>
          <w:sz w:val="28"/>
          <w:szCs w:val="24"/>
        </w:rPr>
        <w:t>At the s</w:t>
      </w:r>
      <w:r w:rsidR="002E2140" w:rsidRPr="00F45BB6">
        <w:rPr>
          <w:rFonts w:ascii="Times New Roman" w:hAnsi="Times New Roman"/>
          <w:b/>
          <w:sz w:val="28"/>
          <w:szCs w:val="24"/>
        </w:rPr>
        <w:t>tart of the action</w:t>
      </w:r>
    </w:p>
    <w:p w:rsidR="00F45BB6" w:rsidRPr="00F45BB6" w:rsidRDefault="00F45BB6" w:rsidP="00CC4AEB">
      <w:pPr>
        <w:shd w:val="clear" w:color="auto" w:fill="F2DBDB" w:themeFill="accent2" w:themeFillTint="33"/>
        <w:jc w:val="both"/>
        <w:rPr>
          <w:rFonts w:ascii="Times New Roman" w:hAnsi="Times New Roman"/>
          <w:b/>
          <w:sz w:val="18"/>
          <w:szCs w:val="18"/>
        </w:rPr>
      </w:pPr>
    </w:p>
    <w:p w:rsidR="00A753EC" w:rsidRPr="00CC4AEB" w:rsidRDefault="00A753EC" w:rsidP="00667217">
      <w:pPr>
        <w:jc w:val="both"/>
        <w:rPr>
          <w:rFonts w:ascii="Times New Roman" w:hAnsi="Times New Roman"/>
          <w:b/>
          <w:sz w:val="24"/>
          <w:szCs w:val="24"/>
        </w:rPr>
      </w:pPr>
    </w:p>
    <w:p w:rsidR="00A753EC" w:rsidRPr="00CC4AEB" w:rsidRDefault="009C1490" w:rsidP="00667217">
      <w:pPr>
        <w:pStyle w:val="ListParagraph"/>
        <w:numPr>
          <w:ilvl w:val="0"/>
          <w:numId w:val="1"/>
        </w:numPr>
        <w:ind w:left="360"/>
        <w:jc w:val="both"/>
        <w:rPr>
          <w:rFonts w:ascii="Times New Roman" w:hAnsi="Times New Roman"/>
          <w:b/>
          <w:sz w:val="24"/>
          <w:szCs w:val="24"/>
        </w:rPr>
      </w:pPr>
      <w:r>
        <w:rPr>
          <w:rFonts w:ascii="Times New Roman" w:hAnsi="Times New Roman"/>
          <w:sz w:val="24"/>
          <w:szCs w:val="24"/>
        </w:rPr>
        <w:t>A p</w:t>
      </w:r>
      <w:r w:rsidR="002E2140" w:rsidRPr="00CC4AEB">
        <w:rPr>
          <w:rFonts w:ascii="Times New Roman" w:hAnsi="Times New Roman"/>
          <w:sz w:val="24"/>
          <w:szCs w:val="24"/>
        </w:rPr>
        <w:t xml:space="preserve">re-financing payment: </w:t>
      </w:r>
      <w:r w:rsidR="00751848">
        <w:rPr>
          <w:rFonts w:ascii="Times New Roman" w:hAnsi="Times New Roman"/>
          <w:sz w:val="24"/>
          <w:szCs w:val="24"/>
        </w:rPr>
        <w:t>same</w:t>
      </w:r>
      <w:r>
        <w:rPr>
          <w:rFonts w:ascii="Times New Roman" w:hAnsi="Times New Roman"/>
          <w:sz w:val="24"/>
          <w:szCs w:val="24"/>
        </w:rPr>
        <w:t xml:space="preserve"> functioning </w:t>
      </w:r>
      <w:r w:rsidR="00AC64B0" w:rsidRPr="00CC4AEB">
        <w:rPr>
          <w:rFonts w:ascii="Times New Roman" w:hAnsi="Times New Roman"/>
          <w:sz w:val="24"/>
          <w:szCs w:val="24"/>
        </w:rPr>
        <w:t>as in the general MGA</w:t>
      </w:r>
      <w:r w:rsidR="00751848">
        <w:rPr>
          <w:rFonts w:ascii="Times New Roman" w:hAnsi="Times New Roman"/>
          <w:sz w:val="24"/>
          <w:szCs w:val="24"/>
        </w:rPr>
        <w:t>. The pre-financing will be fixed in the grant agreement</w:t>
      </w:r>
      <w:r w:rsidR="00667217" w:rsidRPr="00CC4AEB">
        <w:rPr>
          <w:rFonts w:ascii="Times New Roman" w:hAnsi="Times New Roman"/>
          <w:sz w:val="24"/>
          <w:szCs w:val="24"/>
        </w:rPr>
        <w:t xml:space="preserve">. </w:t>
      </w:r>
    </w:p>
    <w:p w:rsidR="00F637C2" w:rsidRPr="00CC4AEB" w:rsidRDefault="00F637C2" w:rsidP="00667217">
      <w:pPr>
        <w:pStyle w:val="ListParagraph"/>
        <w:ind w:left="360"/>
        <w:jc w:val="both"/>
        <w:rPr>
          <w:rFonts w:ascii="Times New Roman" w:hAnsi="Times New Roman"/>
          <w:b/>
          <w:sz w:val="24"/>
          <w:szCs w:val="24"/>
        </w:rPr>
      </w:pPr>
    </w:p>
    <w:p w:rsidR="00F637C2" w:rsidRPr="00CC4AEB" w:rsidRDefault="00751848" w:rsidP="00667217">
      <w:pPr>
        <w:pStyle w:val="ListParagraph"/>
        <w:numPr>
          <w:ilvl w:val="0"/>
          <w:numId w:val="1"/>
        </w:numPr>
        <w:ind w:left="360"/>
        <w:jc w:val="both"/>
        <w:rPr>
          <w:rFonts w:ascii="Times New Roman" w:hAnsi="Times New Roman"/>
          <w:sz w:val="24"/>
          <w:szCs w:val="24"/>
        </w:rPr>
      </w:pPr>
      <w:r>
        <w:rPr>
          <w:rFonts w:ascii="Times New Roman" w:hAnsi="Times New Roman"/>
          <w:sz w:val="24"/>
          <w:szCs w:val="24"/>
        </w:rPr>
        <w:t xml:space="preserve">The coordinator will distribute the </w:t>
      </w:r>
      <w:r w:rsidR="00F637C2" w:rsidRPr="00CC4AEB">
        <w:rPr>
          <w:rFonts w:ascii="Times New Roman" w:hAnsi="Times New Roman"/>
          <w:sz w:val="24"/>
          <w:szCs w:val="24"/>
        </w:rPr>
        <w:t xml:space="preserve">pre-financing in accordance with the </w:t>
      </w:r>
      <w:r w:rsidR="00C61EA6">
        <w:rPr>
          <w:rFonts w:ascii="Times New Roman" w:hAnsi="Times New Roman"/>
          <w:sz w:val="24"/>
          <w:szCs w:val="24"/>
        </w:rPr>
        <w:t>c</w:t>
      </w:r>
      <w:r w:rsidR="00C61EA6" w:rsidRPr="00CC4AEB">
        <w:rPr>
          <w:rFonts w:ascii="Times New Roman" w:hAnsi="Times New Roman"/>
          <w:sz w:val="24"/>
          <w:szCs w:val="24"/>
        </w:rPr>
        <w:t xml:space="preserve">onsortium </w:t>
      </w:r>
      <w:r w:rsidR="00F637C2" w:rsidRPr="00CC4AEB">
        <w:rPr>
          <w:rFonts w:ascii="Times New Roman" w:hAnsi="Times New Roman"/>
          <w:sz w:val="24"/>
          <w:szCs w:val="24"/>
        </w:rPr>
        <w:t xml:space="preserve">agreement (as </w:t>
      </w:r>
      <w:r w:rsidR="001E152B" w:rsidRPr="00CC4AEB">
        <w:rPr>
          <w:rFonts w:ascii="Times New Roman" w:hAnsi="Times New Roman"/>
          <w:sz w:val="24"/>
          <w:szCs w:val="24"/>
        </w:rPr>
        <w:t>in the general MGA</w:t>
      </w:r>
      <w:r w:rsidR="00F637C2" w:rsidRPr="00CC4AEB">
        <w:rPr>
          <w:rFonts w:ascii="Times New Roman" w:hAnsi="Times New Roman"/>
          <w:sz w:val="24"/>
          <w:szCs w:val="24"/>
        </w:rPr>
        <w:t>)</w:t>
      </w:r>
      <w:r w:rsidR="00667217" w:rsidRPr="00CC4AEB">
        <w:rPr>
          <w:rFonts w:ascii="Times New Roman" w:hAnsi="Times New Roman"/>
          <w:sz w:val="24"/>
          <w:szCs w:val="24"/>
        </w:rPr>
        <w:t>.</w:t>
      </w:r>
      <w:r>
        <w:rPr>
          <w:rFonts w:ascii="Times New Roman" w:hAnsi="Times New Roman"/>
          <w:sz w:val="24"/>
          <w:szCs w:val="24"/>
        </w:rPr>
        <w:t xml:space="preserve"> The grant agreement does not fix the amount to be paid to each partner.</w:t>
      </w:r>
    </w:p>
    <w:p w:rsidR="00A753EC" w:rsidRPr="00CC4AEB" w:rsidRDefault="00A753EC" w:rsidP="00667217">
      <w:pPr>
        <w:jc w:val="both"/>
        <w:rPr>
          <w:rFonts w:ascii="Times New Roman" w:hAnsi="Times New Roman"/>
          <w:b/>
          <w:sz w:val="24"/>
          <w:szCs w:val="24"/>
        </w:rPr>
      </w:pPr>
    </w:p>
    <w:p w:rsidR="00067E9E" w:rsidRDefault="00067E9E">
      <w:pPr>
        <w:rPr>
          <w:rFonts w:ascii="Times New Roman" w:hAnsi="Times New Roman"/>
          <w:b/>
          <w:sz w:val="24"/>
          <w:szCs w:val="24"/>
        </w:rPr>
      </w:pPr>
      <w:r>
        <w:rPr>
          <w:rFonts w:ascii="Times New Roman" w:hAnsi="Times New Roman"/>
          <w:b/>
          <w:sz w:val="24"/>
          <w:szCs w:val="24"/>
        </w:rPr>
        <w:br w:type="page"/>
      </w:r>
    </w:p>
    <w:p w:rsidR="00A753EC" w:rsidRPr="00F45BB6" w:rsidRDefault="00CD1456" w:rsidP="00CC4AEB">
      <w:pPr>
        <w:shd w:val="clear" w:color="auto" w:fill="F2DBDB" w:themeFill="accent2" w:themeFillTint="33"/>
        <w:jc w:val="both"/>
        <w:rPr>
          <w:rFonts w:ascii="Times New Roman" w:hAnsi="Times New Roman"/>
          <w:b/>
          <w:sz w:val="28"/>
          <w:szCs w:val="24"/>
        </w:rPr>
      </w:pPr>
      <w:r>
        <w:rPr>
          <w:rFonts w:ascii="Times New Roman" w:hAnsi="Times New Roman"/>
          <w:b/>
          <w:sz w:val="28"/>
          <w:szCs w:val="24"/>
        </w:rPr>
        <w:lastRenderedPageBreak/>
        <w:t>Interim</w:t>
      </w:r>
      <w:r w:rsidR="00824F84" w:rsidRPr="00F45BB6">
        <w:rPr>
          <w:rFonts w:ascii="Times New Roman" w:hAnsi="Times New Roman"/>
          <w:b/>
          <w:sz w:val="28"/>
          <w:szCs w:val="24"/>
        </w:rPr>
        <w:t xml:space="preserve"> r</w:t>
      </w:r>
      <w:r w:rsidR="00A753EC" w:rsidRPr="00F45BB6">
        <w:rPr>
          <w:rFonts w:ascii="Times New Roman" w:hAnsi="Times New Roman"/>
          <w:b/>
          <w:sz w:val="28"/>
          <w:szCs w:val="24"/>
        </w:rPr>
        <w:t>eporting period</w:t>
      </w:r>
      <w:r>
        <w:rPr>
          <w:rFonts w:ascii="Times New Roman" w:hAnsi="Times New Roman"/>
          <w:b/>
          <w:sz w:val="28"/>
          <w:szCs w:val="24"/>
        </w:rPr>
        <w:t>s</w:t>
      </w:r>
    </w:p>
    <w:p w:rsidR="00F45BB6" w:rsidRPr="00F45BB6" w:rsidRDefault="00F45BB6" w:rsidP="00CC4AEB">
      <w:pPr>
        <w:shd w:val="clear" w:color="auto" w:fill="F2DBDB" w:themeFill="accent2" w:themeFillTint="33"/>
        <w:jc w:val="both"/>
        <w:rPr>
          <w:rFonts w:ascii="Times New Roman" w:hAnsi="Times New Roman"/>
          <w:b/>
          <w:sz w:val="18"/>
          <w:szCs w:val="18"/>
        </w:rPr>
      </w:pPr>
    </w:p>
    <w:p w:rsidR="00A753EC" w:rsidRDefault="00A753EC" w:rsidP="00667217">
      <w:pPr>
        <w:jc w:val="both"/>
        <w:rPr>
          <w:rFonts w:ascii="Times New Roman" w:hAnsi="Times New Roman"/>
          <w:b/>
          <w:sz w:val="24"/>
          <w:szCs w:val="24"/>
        </w:rPr>
      </w:pPr>
    </w:p>
    <w:p w:rsidR="00F45BB6" w:rsidRDefault="009C1490" w:rsidP="00667217">
      <w:pPr>
        <w:jc w:val="both"/>
        <w:rPr>
          <w:rFonts w:ascii="Times New Roman" w:hAnsi="Times New Roman"/>
          <w:b/>
          <w:sz w:val="24"/>
          <w:szCs w:val="24"/>
        </w:rPr>
      </w:pPr>
      <w:r>
        <w:rPr>
          <w:rFonts w:ascii="Times New Roman" w:hAnsi="Times New Roman"/>
          <w:b/>
          <w:sz w:val="24"/>
          <w:szCs w:val="24"/>
        </w:rPr>
        <w:t>REPORTING</w:t>
      </w:r>
    </w:p>
    <w:p w:rsidR="00F45BB6" w:rsidRDefault="00F45BB6" w:rsidP="00667217">
      <w:pPr>
        <w:jc w:val="both"/>
        <w:rPr>
          <w:rFonts w:ascii="Times New Roman" w:hAnsi="Times New Roman"/>
          <w:b/>
          <w:sz w:val="24"/>
          <w:szCs w:val="24"/>
        </w:rPr>
      </w:pPr>
    </w:p>
    <w:p w:rsidR="00F45BB6" w:rsidRDefault="00F45BB6" w:rsidP="00667217">
      <w:pPr>
        <w:pStyle w:val="ListParagraph"/>
        <w:numPr>
          <w:ilvl w:val="0"/>
          <w:numId w:val="1"/>
        </w:numPr>
        <w:ind w:left="360"/>
        <w:jc w:val="both"/>
        <w:rPr>
          <w:rFonts w:ascii="Times New Roman" w:hAnsi="Times New Roman"/>
          <w:sz w:val="24"/>
          <w:szCs w:val="24"/>
        </w:rPr>
      </w:pPr>
      <w:r w:rsidRPr="00F45BB6">
        <w:rPr>
          <w:rFonts w:ascii="Times New Roman" w:hAnsi="Times New Roman"/>
          <w:sz w:val="24"/>
          <w:szCs w:val="24"/>
        </w:rPr>
        <w:t>Each beneficiary submits</w:t>
      </w:r>
      <w:r>
        <w:rPr>
          <w:rFonts w:ascii="Times New Roman" w:hAnsi="Times New Roman"/>
          <w:sz w:val="24"/>
          <w:szCs w:val="24"/>
        </w:rPr>
        <w:t xml:space="preserve"> a financial statement where it </w:t>
      </w:r>
      <w:r w:rsidR="00CD1456">
        <w:rPr>
          <w:rFonts w:ascii="Times New Roman" w:hAnsi="Times New Roman"/>
          <w:sz w:val="24"/>
          <w:szCs w:val="24"/>
        </w:rPr>
        <w:t>declares</w:t>
      </w:r>
      <w:r>
        <w:rPr>
          <w:rFonts w:ascii="Times New Roman" w:hAnsi="Times New Roman"/>
          <w:sz w:val="24"/>
          <w:szCs w:val="24"/>
        </w:rPr>
        <w:t xml:space="preserve"> its share of the lump</w:t>
      </w:r>
      <w:r w:rsidRPr="00CC4AEB">
        <w:rPr>
          <w:rFonts w:ascii="Times New Roman" w:hAnsi="Times New Roman"/>
          <w:sz w:val="24"/>
          <w:szCs w:val="24"/>
        </w:rPr>
        <w:t xml:space="preserve"> sum</w:t>
      </w:r>
      <w:r w:rsidR="00CD1456">
        <w:rPr>
          <w:rFonts w:ascii="Times New Roman" w:hAnsi="Times New Roman"/>
          <w:sz w:val="24"/>
          <w:szCs w:val="24"/>
        </w:rPr>
        <w:t>,</w:t>
      </w:r>
      <w:r w:rsidRPr="00CC4AEB">
        <w:rPr>
          <w:rFonts w:ascii="Times New Roman" w:hAnsi="Times New Roman"/>
          <w:sz w:val="24"/>
          <w:szCs w:val="24"/>
        </w:rPr>
        <w:t xml:space="preserve"> </w:t>
      </w:r>
      <w:r>
        <w:rPr>
          <w:rFonts w:ascii="Times New Roman" w:hAnsi="Times New Roman"/>
          <w:sz w:val="24"/>
          <w:szCs w:val="24"/>
        </w:rPr>
        <w:t xml:space="preserve">as </w:t>
      </w:r>
      <w:r w:rsidRPr="00CC4AEB">
        <w:rPr>
          <w:rFonts w:ascii="Times New Roman" w:hAnsi="Times New Roman"/>
          <w:sz w:val="24"/>
          <w:szCs w:val="24"/>
        </w:rPr>
        <w:t>set up in Annex 2</w:t>
      </w:r>
      <w:r w:rsidR="00CD1456">
        <w:rPr>
          <w:rFonts w:ascii="Times New Roman" w:hAnsi="Times New Roman"/>
          <w:sz w:val="24"/>
          <w:szCs w:val="24"/>
        </w:rPr>
        <w:t>,</w:t>
      </w:r>
      <w:r w:rsidRPr="00CC4AEB">
        <w:rPr>
          <w:rFonts w:ascii="Times New Roman" w:hAnsi="Times New Roman"/>
          <w:sz w:val="24"/>
          <w:szCs w:val="24"/>
        </w:rPr>
        <w:t xml:space="preserve"> for the </w:t>
      </w:r>
      <w:r>
        <w:rPr>
          <w:rFonts w:ascii="Times New Roman" w:hAnsi="Times New Roman"/>
          <w:sz w:val="24"/>
          <w:szCs w:val="24"/>
        </w:rPr>
        <w:t>WP</w:t>
      </w:r>
      <w:r w:rsidR="00CD1456">
        <w:rPr>
          <w:rFonts w:ascii="Times New Roman" w:hAnsi="Times New Roman"/>
          <w:sz w:val="24"/>
          <w:szCs w:val="24"/>
        </w:rPr>
        <w:t>s</w:t>
      </w:r>
      <w:r w:rsidRPr="00CC4AEB">
        <w:rPr>
          <w:rFonts w:ascii="Times New Roman" w:hAnsi="Times New Roman"/>
          <w:sz w:val="24"/>
          <w:szCs w:val="24"/>
        </w:rPr>
        <w:t xml:space="preserve"> </w:t>
      </w:r>
      <w:r>
        <w:rPr>
          <w:rFonts w:ascii="Times New Roman" w:hAnsi="Times New Roman"/>
          <w:sz w:val="24"/>
          <w:szCs w:val="24"/>
        </w:rPr>
        <w:t>completed</w:t>
      </w:r>
      <w:r w:rsidRPr="00CC4AEB">
        <w:rPr>
          <w:rFonts w:ascii="Times New Roman" w:hAnsi="Times New Roman"/>
          <w:sz w:val="24"/>
          <w:szCs w:val="24"/>
        </w:rPr>
        <w:t xml:space="preserve"> during the reporting period</w:t>
      </w:r>
      <w:r>
        <w:rPr>
          <w:rFonts w:ascii="Times New Roman" w:hAnsi="Times New Roman"/>
          <w:sz w:val="24"/>
          <w:szCs w:val="24"/>
        </w:rPr>
        <w:t>.</w:t>
      </w:r>
    </w:p>
    <w:p w:rsidR="00F45BB6" w:rsidRDefault="00F45BB6" w:rsidP="00F45BB6">
      <w:pPr>
        <w:pStyle w:val="ListParagraph"/>
        <w:ind w:left="360"/>
        <w:jc w:val="both"/>
        <w:rPr>
          <w:rFonts w:ascii="Times New Roman" w:hAnsi="Times New Roman"/>
          <w:sz w:val="24"/>
          <w:szCs w:val="24"/>
        </w:rPr>
      </w:pPr>
    </w:p>
    <w:p w:rsidR="00F45BB6" w:rsidRDefault="00F45BB6" w:rsidP="00667217">
      <w:pPr>
        <w:pStyle w:val="ListParagraph"/>
        <w:numPr>
          <w:ilvl w:val="0"/>
          <w:numId w:val="1"/>
        </w:numPr>
        <w:ind w:left="360"/>
        <w:jc w:val="both"/>
        <w:rPr>
          <w:rFonts w:ascii="Times New Roman" w:hAnsi="Times New Roman"/>
          <w:sz w:val="24"/>
          <w:szCs w:val="24"/>
        </w:rPr>
      </w:pPr>
      <w:r>
        <w:rPr>
          <w:rFonts w:ascii="Times New Roman" w:hAnsi="Times New Roman"/>
          <w:sz w:val="24"/>
          <w:szCs w:val="24"/>
        </w:rPr>
        <w:t xml:space="preserve">Only </w:t>
      </w:r>
      <w:r w:rsidR="009C1490">
        <w:rPr>
          <w:rFonts w:ascii="Times New Roman" w:hAnsi="Times New Roman"/>
          <w:sz w:val="24"/>
          <w:szCs w:val="24"/>
        </w:rPr>
        <w:t>WPs</w:t>
      </w:r>
      <w:r>
        <w:rPr>
          <w:rFonts w:ascii="Times New Roman" w:hAnsi="Times New Roman"/>
          <w:sz w:val="24"/>
          <w:szCs w:val="24"/>
        </w:rPr>
        <w:t xml:space="preserve"> fully completed in the reporting period can be declared in the financial statements</w:t>
      </w:r>
      <w:r w:rsidR="002D4FBD">
        <w:rPr>
          <w:rFonts w:ascii="Times New Roman" w:hAnsi="Times New Roman"/>
          <w:sz w:val="24"/>
          <w:szCs w:val="24"/>
        </w:rPr>
        <w:t xml:space="preserve"> (except in case of termination of a beneficiary</w:t>
      </w:r>
      <w:r w:rsidR="00CD1456">
        <w:rPr>
          <w:rFonts w:ascii="Times New Roman" w:hAnsi="Times New Roman"/>
          <w:sz w:val="24"/>
          <w:szCs w:val="24"/>
        </w:rPr>
        <w:t>; see further below</w:t>
      </w:r>
      <w:r w:rsidR="002D4FBD">
        <w:rPr>
          <w:rFonts w:ascii="Times New Roman" w:hAnsi="Times New Roman"/>
          <w:sz w:val="24"/>
          <w:szCs w:val="24"/>
        </w:rPr>
        <w:t>)</w:t>
      </w:r>
      <w:r>
        <w:rPr>
          <w:rFonts w:ascii="Times New Roman" w:hAnsi="Times New Roman"/>
          <w:sz w:val="24"/>
          <w:szCs w:val="24"/>
        </w:rPr>
        <w:t>. If beneficiary</w:t>
      </w:r>
      <w:r w:rsidR="009C1490">
        <w:rPr>
          <w:rFonts w:ascii="Times New Roman" w:hAnsi="Times New Roman"/>
          <w:sz w:val="24"/>
          <w:szCs w:val="24"/>
        </w:rPr>
        <w:t xml:space="preserve"> </w:t>
      </w:r>
      <w:r w:rsidR="00D97F59">
        <w:rPr>
          <w:rFonts w:ascii="Times New Roman" w:hAnsi="Times New Roman"/>
          <w:sz w:val="24"/>
          <w:szCs w:val="24"/>
        </w:rPr>
        <w:t>Z</w:t>
      </w:r>
      <w:r>
        <w:rPr>
          <w:rFonts w:ascii="Times New Roman" w:hAnsi="Times New Roman"/>
          <w:sz w:val="24"/>
          <w:szCs w:val="24"/>
        </w:rPr>
        <w:t xml:space="preserve"> has completed its part in a </w:t>
      </w:r>
      <w:r w:rsidR="009C1490">
        <w:rPr>
          <w:rFonts w:ascii="Times New Roman" w:hAnsi="Times New Roman"/>
          <w:sz w:val="24"/>
          <w:szCs w:val="24"/>
        </w:rPr>
        <w:t>WP</w:t>
      </w:r>
      <w:r>
        <w:rPr>
          <w:rFonts w:ascii="Times New Roman" w:hAnsi="Times New Roman"/>
          <w:sz w:val="24"/>
          <w:szCs w:val="24"/>
        </w:rPr>
        <w:t xml:space="preserve"> but that </w:t>
      </w:r>
      <w:r w:rsidR="009C1490">
        <w:rPr>
          <w:rFonts w:ascii="Times New Roman" w:hAnsi="Times New Roman"/>
          <w:sz w:val="24"/>
          <w:szCs w:val="24"/>
        </w:rPr>
        <w:t xml:space="preserve">WP is pending on the work of other beneficiaries, the WP cannot be declared (i.e. beneficiary </w:t>
      </w:r>
      <w:r w:rsidR="00D97F59">
        <w:rPr>
          <w:rFonts w:ascii="Times New Roman" w:hAnsi="Times New Roman"/>
          <w:sz w:val="24"/>
          <w:szCs w:val="24"/>
        </w:rPr>
        <w:t>Z</w:t>
      </w:r>
      <w:r w:rsidR="009C1490">
        <w:rPr>
          <w:rFonts w:ascii="Times New Roman" w:hAnsi="Times New Roman"/>
          <w:sz w:val="24"/>
          <w:szCs w:val="24"/>
        </w:rPr>
        <w:t xml:space="preserve"> will have to wait until the WP is completed before declaring its share of that WP). </w:t>
      </w:r>
    </w:p>
    <w:p w:rsidR="005F41F8" w:rsidRDefault="005F41F8" w:rsidP="005F41F8">
      <w:pPr>
        <w:pStyle w:val="ListParagraph"/>
        <w:ind w:left="360"/>
        <w:jc w:val="both"/>
        <w:rPr>
          <w:rFonts w:ascii="Times New Roman" w:hAnsi="Times New Roman"/>
          <w:sz w:val="24"/>
          <w:szCs w:val="24"/>
        </w:rPr>
      </w:pPr>
    </w:p>
    <w:p w:rsidR="005F41F8" w:rsidRDefault="005F41F8" w:rsidP="00667217">
      <w:pPr>
        <w:pStyle w:val="ListParagraph"/>
        <w:numPr>
          <w:ilvl w:val="0"/>
          <w:numId w:val="1"/>
        </w:numPr>
        <w:ind w:left="360"/>
        <w:jc w:val="both"/>
        <w:rPr>
          <w:rFonts w:ascii="Times New Roman" w:hAnsi="Times New Roman"/>
          <w:sz w:val="24"/>
          <w:szCs w:val="24"/>
        </w:rPr>
      </w:pPr>
      <w:r>
        <w:rPr>
          <w:rFonts w:ascii="Times New Roman" w:hAnsi="Times New Roman"/>
          <w:sz w:val="24"/>
          <w:szCs w:val="24"/>
        </w:rPr>
        <w:t xml:space="preserve">Beneficiaries must also detail in the technical report the progress in </w:t>
      </w:r>
      <w:r w:rsidR="00CD1456">
        <w:rPr>
          <w:rFonts w:ascii="Times New Roman" w:hAnsi="Times New Roman"/>
          <w:sz w:val="24"/>
          <w:szCs w:val="24"/>
        </w:rPr>
        <w:t>the</w:t>
      </w:r>
      <w:r>
        <w:rPr>
          <w:rFonts w:ascii="Times New Roman" w:hAnsi="Times New Roman"/>
          <w:sz w:val="24"/>
          <w:szCs w:val="24"/>
        </w:rPr>
        <w:t xml:space="preserve"> WP</w:t>
      </w:r>
      <w:r w:rsidR="000D0789">
        <w:rPr>
          <w:rFonts w:ascii="Times New Roman" w:hAnsi="Times New Roman"/>
          <w:sz w:val="24"/>
          <w:szCs w:val="24"/>
        </w:rPr>
        <w:t>s</w:t>
      </w:r>
      <w:r>
        <w:rPr>
          <w:rFonts w:ascii="Times New Roman" w:hAnsi="Times New Roman"/>
          <w:sz w:val="24"/>
          <w:szCs w:val="24"/>
        </w:rPr>
        <w:t xml:space="preserve"> initiated but not yet completed.</w:t>
      </w:r>
    </w:p>
    <w:p w:rsidR="005F41F8" w:rsidRDefault="005F41F8" w:rsidP="005F41F8">
      <w:pPr>
        <w:pStyle w:val="ListParagraph"/>
        <w:ind w:left="360"/>
        <w:jc w:val="both"/>
        <w:rPr>
          <w:rFonts w:ascii="Times New Roman" w:hAnsi="Times New Roman"/>
          <w:sz w:val="24"/>
          <w:szCs w:val="24"/>
        </w:rPr>
      </w:pPr>
    </w:p>
    <w:p w:rsidR="005F41F8" w:rsidRDefault="005F41F8" w:rsidP="00667217">
      <w:pPr>
        <w:pStyle w:val="ListParagraph"/>
        <w:numPr>
          <w:ilvl w:val="0"/>
          <w:numId w:val="1"/>
        </w:numPr>
        <w:ind w:left="360"/>
        <w:jc w:val="both"/>
        <w:rPr>
          <w:rFonts w:ascii="Times New Roman" w:hAnsi="Times New Roman"/>
          <w:sz w:val="24"/>
          <w:szCs w:val="24"/>
        </w:rPr>
      </w:pPr>
      <w:r>
        <w:rPr>
          <w:rFonts w:ascii="Times New Roman" w:hAnsi="Times New Roman"/>
          <w:sz w:val="24"/>
          <w:szCs w:val="24"/>
        </w:rPr>
        <w:t xml:space="preserve">Although the obligation to report on the use of resources remains, this will be limited </w:t>
      </w:r>
      <w:r>
        <w:rPr>
          <w:rFonts w:ascii="Times New Roman" w:hAnsi="Times New Roman"/>
          <w:sz w:val="24"/>
          <w:szCs w:val="24"/>
          <w:u w:val="single"/>
        </w:rPr>
        <w:t>only</w:t>
      </w:r>
      <w:r>
        <w:rPr>
          <w:rFonts w:ascii="Times New Roman" w:hAnsi="Times New Roman"/>
          <w:sz w:val="24"/>
          <w:szCs w:val="24"/>
        </w:rPr>
        <w:t xml:space="preserve"> to report new subcontracting (if any). This reporting </w:t>
      </w:r>
      <w:r w:rsidR="000D0789">
        <w:rPr>
          <w:rFonts w:ascii="Times New Roman" w:hAnsi="Times New Roman"/>
          <w:sz w:val="24"/>
          <w:szCs w:val="24"/>
        </w:rPr>
        <w:t xml:space="preserve">requirement </w:t>
      </w:r>
      <w:r>
        <w:rPr>
          <w:rFonts w:ascii="Times New Roman" w:hAnsi="Times New Roman"/>
          <w:sz w:val="24"/>
          <w:szCs w:val="24"/>
        </w:rPr>
        <w:t xml:space="preserve">is retained in order to allow beneficiaries </w:t>
      </w:r>
      <w:r w:rsidR="00D97F59">
        <w:rPr>
          <w:rFonts w:ascii="Times New Roman" w:hAnsi="Times New Roman"/>
          <w:sz w:val="24"/>
          <w:szCs w:val="24"/>
        </w:rPr>
        <w:t xml:space="preserve">to </w:t>
      </w:r>
      <w:r w:rsidR="000D0789">
        <w:rPr>
          <w:rFonts w:ascii="Times New Roman" w:hAnsi="Times New Roman"/>
          <w:sz w:val="24"/>
          <w:szCs w:val="24"/>
        </w:rPr>
        <w:t>get</w:t>
      </w:r>
      <w:r>
        <w:rPr>
          <w:rFonts w:ascii="Times New Roman" w:hAnsi="Times New Roman"/>
          <w:sz w:val="24"/>
          <w:szCs w:val="24"/>
        </w:rPr>
        <w:t xml:space="preserve"> a "light approval" of subcontracts not included in Annex 1</w:t>
      </w:r>
      <w:r w:rsidR="000D0789">
        <w:rPr>
          <w:rFonts w:ascii="Times New Roman" w:hAnsi="Times New Roman"/>
          <w:sz w:val="24"/>
          <w:szCs w:val="24"/>
        </w:rPr>
        <w:t xml:space="preserve"> as it happens in the general MGA</w:t>
      </w:r>
      <w:r>
        <w:rPr>
          <w:rFonts w:ascii="Times New Roman" w:hAnsi="Times New Roman"/>
          <w:sz w:val="24"/>
          <w:szCs w:val="24"/>
        </w:rPr>
        <w:t>.</w:t>
      </w:r>
    </w:p>
    <w:p w:rsidR="005F41F8" w:rsidRPr="00F45BB6" w:rsidRDefault="005F41F8" w:rsidP="005F41F8">
      <w:pPr>
        <w:pStyle w:val="ListParagraph"/>
        <w:ind w:left="360"/>
        <w:jc w:val="both"/>
        <w:rPr>
          <w:rFonts w:ascii="Times New Roman" w:hAnsi="Times New Roman"/>
          <w:sz w:val="24"/>
          <w:szCs w:val="24"/>
        </w:rPr>
      </w:pPr>
    </w:p>
    <w:p w:rsidR="009C1490" w:rsidRDefault="009C1490" w:rsidP="000D0789">
      <w:pPr>
        <w:spacing w:before="120"/>
        <w:jc w:val="both"/>
        <w:rPr>
          <w:rFonts w:ascii="Times New Roman" w:hAnsi="Times New Roman"/>
          <w:b/>
          <w:sz w:val="24"/>
          <w:szCs w:val="24"/>
        </w:rPr>
      </w:pPr>
      <w:r>
        <w:rPr>
          <w:rFonts w:ascii="Times New Roman" w:hAnsi="Times New Roman"/>
          <w:b/>
          <w:sz w:val="24"/>
          <w:szCs w:val="24"/>
        </w:rPr>
        <w:t>PAYMENT</w:t>
      </w:r>
    </w:p>
    <w:p w:rsidR="00F45BB6" w:rsidRDefault="00F45BB6" w:rsidP="00F45BB6">
      <w:pPr>
        <w:jc w:val="both"/>
        <w:rPr>
          <w:rFonts w:ascii="Times New Roman" w:hAnsi="Times New Roman"/>
          <w:b/>
          <w:sz w:val="24"/>
          <w:szCs w:val="24"/>
        </w:rPr>
      </w:pPr>
    </w:p>
    <w:p w:rsidR="00A753EC" w:rsidRPr="00CC4AEB" w:rsidRDefault="00A753EC" w:rsidP="00667217">
      <w:pPr>
        <w:pStyle w:val="ListParagraph"/>
        <w:numPr>
          <w:ilvl w:val="0"/>
          <w:numId w:val="1"/>
        </w:numPr>
        <w:ind w:left="360"/>
        <w:jc w:val="both"/>
        <w:rPr>
          <w:rFonts w:ascii="Times New Roman" w:hAnsi="Times New Roman"/>
          <w:b/>
          <w:sz w:val="24"/>
          <w:szCs w:val="24"/>
        </w:rPr>
      </w:pPr>
      <w:r w:rsidRPr="00CC4AEB">
        <w:rPr>
          <w:rFonts w:ascii="Times New Roman" w:hAnsi="Times New Roman"/>
          <w:b/>
          <w:sz w:val="24"/>
          <w:szCs w:val="24"/>
        </w:rPr>
        <w:t>I</w:t>
      </w:r>
      <w:r w:rsidR="00751848">
        <w:rPr>
          <w:rFonts w:ascii="Times New Roman" w:hAnsi="Times New Roman"/>
          <w:b/>
          <w:sz w:val="24"/>
          <w:szCs w:val="24"/>
        </w:rPr>
        <w:t xml:space="preserve">f the work progressed according to </w:t>
      </w:r>
      <w:r w:rsidR="00F45BB6">
        <w:rPr>
          <w:rFonts w:ascii="Times New Roman" w:hAnsi="Times New Roman"/>
          <w:b/>
          <w:sz w:val="24"/>
          <w:szCs w:val="24"/>
        </w:rPr>
        <w:t>schedule</w:t>
      </w:r>
      <w:r w:rsidR="00751848">
        <w:rPr>
          <w:rFonts w:ascii="Times New Roman" w:hAnsi="Times New Roman"/>
          <w:b/>
          <w:sz w:val="24"/>
          <w:szCs w:val="24"/>
        </w:rPr>
        <w:t xml:space="preserve"> </w:t>
      </w:r>
      <w:r w:rsidR="00CD1456">
        <w:rPr>
          <w:rFonts w:ascii="Times New Roman" w:hAnsi="Times New Roman"/>
          <w:sz w:val="24"/>
          <w:szCs w:val="24"/>
        </w:rPr>
        <w:t>(hereinafter '</w:t>
      </w:r>
      <w:r w:rsidR="00751848">
        <w:rPr>
          <w:rFonts w:ascii="Times New Roman" w:hAnsi="Times New Roman"/>
          <w:sz w:val="24"/>
          <w:szCs w:val="24"/>
        </w:rPr>
        <w:t>all</w:t>
      </w:r>
      <w:r w:rsidRPr="00751848">
        <w:rPr>
          <w:rFonts w:ascii="Times New Roman" w:hAnsi="Times New Roman"/>
          <w:sz w:val="24"/>
          <w:szCs w:val="24"/>
        </w:rPr>
        <w:t xml:space="preserve"> OK</w:t>
      </w:r>
      <w:r w:rsidR="00CD1456">
        <w:rPr>
          <w:rFonts w:ascii="Times New Roman" w:hAnsi="Times New Roman"/>
          <w:sz w:val="24"/>
          <w:szCs w:val="24"/>
        </w:rPr>
        <w:t>'</w:t>
      </w:r>
      <w:r w:rsidR="00751848" w:rsidRPr="00751848">
        <w:rPr>
          <w:rFonts w:ascii="Times New Roman" w:hAnsi="Times New Roman"/>
          <w:sz w:val="24"/>
          <w:szCs w:val="24"/>
        </w:rPr>
        <w:t>)</w:t>
      </w:r>
      <w:r w:rsidRPr="00751848">
        <w:rPr>
          <w:rFonts w:ascii="Times New Roman" w:hAnsi="Times New Roman"/>
          <w:sz w:val="24"/>
          <w:szCs w:val="24"/>
        </w:rPr>
        <w:t>:</w:t>
      </w:r>
      <w:r w:rsidRPr="00CC4AEB">
        <w:rPr>
          <w:rFonts w:ascii="Times New Roman" w:hAnsi="Times New Roman"/>
          <w:b/>
          <w:sz w:val="24"/>
          <w:szCs w:val="24"/>
        </w:rPr>
        <w:t xml:space="preserve"> </w:t>
      </w:r>
      <w:r w:rsidR="00667217" w:rsidRPr="00CC4AEB">
        <w:rPr>
          <w:rFonts w:ascii="Times New Roman" w:hAnsi="Times New Roman"/>
          <w:sz w:val="24"/>
          <w:szCs w:val="24"/>
        </w:rPr>
        <w:t xml:space="preserve">interim </w:t>
      </w:r>
      <w:r w:rsidRPr="00CC4AEB">
        <w:rPr>
          <w:rFonts w:ascii="Times New Roman" w:hAnsi="Times New Roman"/>
          <w:sz w:val="24"/>
          <w:szCs w:val="24"/>
        </w:rPr>
        <w:t>payment</w:t>
      </w:r>
      <w:r w:rsidR="00667217" w:rsidRPr="00CC4AEB">
        <w:rPr>
          <w:rFonts w:ascii="Times New Roman" w:hAnsi="Times New Roman"/>
          <w:b/>
          <w:sz w:val="24"/>
          <w:szCs w:val="24"/>
        </w:rPr>
        <w:t xml:space="preserve"> </w:t>
      </w:r>
      <w:r w:rsidR="00667217" w:rsidRPr="00CC4AEB">
        <w:rPr>
          <w:rFonts w:ascii="Times New Roman" w:hAnsi="Times New Roman"/>
          <w:sz w:val="24"/>
          <w:szCs w:val="24"/>
        </w:rPr>
        <w:t>corresponding</w:t>
      </w:r>
      <w:r w:rsidR="00667217" w:rsidRPr="00CC4AEB">
        <w:rPr>
          <w:rFonts w:ascii="Times New Roman" w:hAnsi="Times New Roman"/>
          <w:b/>
          <w:sz w:val="24"/>
          <w:szCs w:val="24"/>
        </w:rPr>
        <w:t xml:space="preserve"> </w:t>
      </w:r>
      <w:r w:rsidR="00667217" w:rsidRPr="00CC4AEB">
        <w:rPr>
          <w:rFonts w:ascii="Times New Roman" w:hAnsi="Times New Roman"/>
          <w:sz w:val="24"/>
          <w:szCs w:val="24"/>
        </w:rPr>
        <w:t xml:space="preserve">to the </w:t>
      </w:r>
      <w:r w:rsidR="009C1490">
        <w:rPr>
          <w:rFonts w:ascii="Times New Roman" w:hAnsi="Times New Roman"/>
          <w:sz w:val="24"/>
          <w:szCs w:val="24"/>
        </w:rPr>
        <w:t xml:space="preserve">sum of the </w:t>
      </w:r>
      <w:r w:rsidR="00F45BB6">
        <w:rPr>
          <w:rFonts w:ascii="Times New Roman" w:hAnsi="Times New Roman"/>
          <w:sz w:val="24"/>
          <w:szCs w:val="24"/>
        </w:rPr>
        <w:t>shares of the lump</w:t>
      </w:r>
      <w:r w:rsidR="00667217" w:rsidRPr="00CC4AEB">
        <w:rPr>
          <w:rFonts w:ascii="Times New Roman" w:hAnsi="Times New Roman"/>
          <w:sz w:val="24"/>
          <w:szCs w:val="24"/>
        </w:rPr>
        <w:t xml:space="preserve"> sum set up in Annex 2 for the Work Packages</w:t>
      </w:r>
      <w:r w:rsidRPr="00CC4AEB">
        <w:rPr>
          <w:rFonts w:ascii="Times New Roman" w:hAnsi="Times New Roman"/>
          <w:sz w:val="24"/>
          <w:szCs w:val="24"/>
        </w:rPr>
        <w:t xml:space="preserve"> </w:t>
      </w:r>
      <w:r w:rsidR="00F45BB6">
        <w:rPr>
          <w:rFonts w:ascii="Times New Roman" w:hAnsi="Times New Roman"/>
          <w:sz w:val="24"/>
          <w:szCs w:val="24"/>
        </w:rPr>
        <w:t>completed</w:t>
      </w:r>
      <w:r w:rsidR="00241293" w:rsidRPr="00CC4AEB">
        <w:rPr>
          <w:rFonts w:ascii="Times New Roman" w:hAnsi="Times New Roman"/>
          <w:sz w:val="24"/>
          <w:szCs w:val="24"/>
        </w:rPr>
        <w:t xml:space="preserve"> </w:t>
      </w:r>
      <w:r w:rsidR="00667217" w:rsidRPr="00CC4AEB">
        <w:rPr>
          <w:rFonts w:ascii="Times New Roman" w:hAnsi="Times New Roman"/>
          <w:sz w:val="24"/>
          <w:szCs w:val="24"/>
        </w:rPr>
        <w:t>during the reporting period and approved by the PO.</w:t>
      </w:r>
    </w:p>
    <w:p w:rsidR="00A753EC" w:rsidRPr="00CC4AEB" w:rsidRDefault="00A753EC" w:rsidP="00667217">
      <w:pPr>
        <w:pStyle w:val="ListParagraph"/>
        <w:ind w:left="360"/>
        <w:jc w:val="both"/>
        <w:rPr>
          <w:rFonts w:ascii="Times New Roman" w:hAnsi="Times New Roman"/>
          <w:b/>
          <w:sz w:val="24"/>
          <w:szCs w:val="24"/>
        </w:rPr>
      </w:pPr>
    </w:p>
    <w:p w:rsidR="00F637C2" w:rsidRPr="00CC4AEB" w:rsidRDefault="00A753EC" w:rsidP="00667217">
      <w:pPr>
        <w:pStyle w:val="ListParagraph"/>
        <w:numPr>
          <w:ilvl w:val="0"/>
          <w:numId w:val="1"/>
        </w:numPr>
        <w:ind w:left="360"/>
        <w:jc w:val="both"/>
        <w:rPr>
          <w:rFonts w:ascii="Times New Roman" w:hAnsi="Times New Roman"/>
          <w:b/>
          <w:sz w:val="24"/>
          <w:szCs w:val="24"/>
        </w:rPr>
      </w:pPr>
      <w:r w:rsidRPr="00CC4AEB">
        <w:rPr>
          <w:rFonts w:ascii="Times New Roman" w:hAnsi="Times New Roman"/>
          <w:b/>
          <w:sz w:val="24"/>
          <w:szCs w:val="24"/>
        </w:rPr>
        <w:t>I</w:t>
      </w:r>
      <w:r w:rsidR="00751848">
        <w:rPr>
          <w:rFonts w:ascii="Times New Roman" w:hAnsi="Times New Roman"/>
          <w:b/>
          <w:sz w:val="24"/>
          <w:szCs w:val="24"/>
        </w:rPr>
        <w:t>f</w:t>
      </w:r>
      <w:r w:rsidRPr="00CC4AEB">
        <w:rPr>
          <w:rFonts w:ascii="Times New Roman" w:hAnsi="Times New Roman"/>
          <w:b/>
          <w:sz w:val="24"/>
          <w:szCs w:val="24"/>
        </w:rPr>
        <w:t xml:space="preserve"> </w:t>
      </w:r>
      <w:r w:rsidRPr="00CC4AEB">
        <w:rPr>
          <w:rFonts w:ascii="Times New Roman" w:hAnsi="Times New Roman"/>
          <w:b/>
          <w:sz w:val="24"/>
          <w:szCs w:val="24"/>
          <w:u w:val="single"/>
        </w:rPr>
        <w:t>NOT</w:t>
      </w:r>
      <w:r w:rsidRPr="00CC4AEB">
        <w:rPr>
          <w:rFonts w:ascii="Times New Roman" w:hAnsi="Times New Roman"/>
          <w:b/>
          <w:sz w:val="24"/>
          <w:szCs w:val="24"/>
        </w:rPr>
        <w:t xml:space="preserve"> </w:t>
      </w:r>
      <w:r w:rsidR="00751848">
        <w:rPr>
          <w:rFonts w:ascii="Times New Roman" w:hAnsi="Times New Roman"/>
          <w:b/>
          <w:sz w:val="24"/>
          <w:szCs w:val="24"/>
        </w:rPr>
        <w:t>all</w:t>
      </w:r>
      <w:r w:rsidRPr="00CC4AEB">
        <w:rPr>
          <w:rFonts w:ascii="Times New Roman" w:hAnsi="Times New Roman"/>
          <w:b/>
          <w:sz w:val="24"/>
          <w:szCs w:val="24"/>
        </w:rPr>
        <w:t xml:space="preserve"> OK</w:t>
      </w:r>
      <w:r w:rsidR="00A06935" w:rsidRPr="00CC4AEB">
        <w:rPr>
          <w:rFonts w:ascii="Times New Roman" w:hAnsi="Times New Roman"/>
          <w:sz w:val="24"/>
          <w:szCs w:val="24"/>
        </w:rPr>
        <w:t>:</w:t>
      </w:r>
    </w:p>
    <w:p w:rsidR="00F637C2" w:rsidRPr="00CC4AEB" w:rsidRDefault="00F637C2" w:rsidP="00667217">
      <w:pPr>
        <w:pStyle w:val="ListParagraph"/>
        <w:ind w:left="360"/>
        <w:jc w:val="both"/>
        <w:rPr>
          <w:rFonts w:ascii="Times New Roman" w:hAnsi="Times New Roman"/>
          <w:b/>
          <w:sz w:val="24"/>
          <w:szCs w:val="24"/>
        </w:rPr>
      </w:pPr>
    </w:p>
    <w:p w:rsidR="009C1490" w:rsidRPr="009C1490" w:rsidRDefault="002E2140" w:rsidP="005F41F8">
      <w:pPr>
        <w:pStyle w:val="ListParagraph"/>
        <w:numPr>
          <w:ilvl w:val="1"/>
          <w:numId w:val="1"/>
        </w:numPr>
        <w:ind w:left="851"/>
        <w:jc w:val="both"/>
        <w:rPr>
          <w:rFonts w:ascii="Times New Roman" w:hAnsi="Times New Roman"/>
          <w:b/>
          <w:sz w:val="24"/>
          <w:szCs w:val="24"/>
        </w:rPr>
      </w:pPr>
      <w:r w:rsidRPr="00CC4AEB">
        <w:rPr>
          <w:rFonts w:ascii="Times New Roman" w:hAnsi="Times New Roman"/>
          <w:sz w:val="24"/>
          <w:szCs w:val="24"/>
        </w:rPr>
        <w:t xml:space="preserve">A WP </w:t>
      </w:r>
      <w:r w:rsidR="009C1490">
        <w:rPr>
          <w:rFonts w:ascii="Times New Roman" w:hAnsi="Times New Roman"/>
          <w:sz w:val="24"/>
          <w:szCs w:val="24"/>
        </w:rPr>
        <w:t xml:space="preserve">declared by the Consortium </w:t>
      </w:r>
      <w:r w:rsidR="00D40E20">
        <w:rPr>
          <w:rFonts w:ascii="Times New Roman" w:hAnsi="Times New Roman"/>
          <w:sz w:val="24"/>
          <w:szCs w:val="24"/>
        </w:rPr>
        <w:t>is</w:t>
      </w:r>
      <w:r w:rsidR="009C1490">
        <w:rPr>
          <w:rFonts w:ascii="Times New Roman" w:hAnsi="Times New Roman"/>
          <w:sz w:val="24"/>
          <w:szCs w:val="24"/>
        </w:rPr>
        <w:t xml:space="preserve"> not completed or was not implemented as described in Annex 1: the WP would not be approved by the PO in that reporting period. </w:t>
      </w:r>
      <w:r w:rsidR="00D40E20">
        <w:rPr>
          <w:rFonts w:ascii="Times New Roman" w:hAnsi="Times New Roman"/>
          <w:sz w:val="24"/>
          <w:szCs w:val="24"/>
        </w:rPr>
        <w:t>The corresponding share of the lump sum would, therefore, no</w:t>
      </w:r>
      <w:r w:rsidR="000D0789">
        <w:rPr>
          <w:rFonts w:ascii="Times New Roman" w:hAnsi="Times New Roman"/>
          <w:sz w:val="24"/>
          <w:szCs w:val="24"/>
        </w:rPr>
        <w:t>t</w:t>
      </w:r>
      <w:r w:rsidR="00D40E20">
        <w:rPr>
          <w:rFonts w:ascii="Times New Roman" w:hAnsi="Times New Roman"/>
          <w:sz w:val="24"/>
          <w:szCs w:val="24"/>
        </w:rPr>
        <w:t xml:space="preserve"> be paid. The PO would </w:t>
      </w:r>
      <w:r w:rsidR="00CD1456">
        <w:rPr>
          <w:rFonts w:ascii="Times New Roman" w:hAnsi="Times New Roman"/>
          <w:sz w:val="24"/>
          <w:szCs w:val="24"/>
        </w:rPr>
        <w:t>report</w:t>
      </w:r>
      <w:r w:rsidR="00D40E20">
        <w:rPr>
          <w:rFonts w:ascii="Times New Roman" w:hAnsi="Times New Roman"/>
          <w:sz w:val="24"/>
          <w:szCs w:val="24"/>
        </w:rPr>
        <w:t xml:space="preserve"> to the Consortium the deficiencies of the WP compared with Annex 1</w:t>
      </w:r>
      <w:r w:rsidR="00CD1456">
        <w:rPr>
          <w:rFonts w:ascii="Times New Roman" w:hAnsi="Times New Roman"/>
          <w:sz w:val="24"/>
          <w:szCs w:val="24"/>
        </w:rPr>
        <w:t>,</w:t>
      </w:r>
      <w:r w:rsidR="00D40E20">
        <w:rPr>
          <w:rFonts w:ascii="Times New Roman" w:hAnsi="Times New Roman"/>
          <w:sz w:val="24"/>
          <w:szCs w:val="24"/>
        </w:rPr>
        <w:t xml:space="preserve"> so the Consortium can remedy those deficiencies and resubmit the WP in the next reporting period.</w:t>
      </w:r>
    </w:p>
    <w:p w:rsidR="002D4FBD" w:rsidRDefault="00FF1BF4" w:rsidP="005F41F8">
      <w:pPr>
        <w:pStyle w:val="ListParagraph"/>
        <w:numPr>
          <w:ilvl w:val="1"/>
          <w:numId w:val="1"/>
        </w:numPr>
        <w:spacing w:before="240"/>
        <w:ind w:left="851" w:hanging="357"/>
        <w:contextualSpacing w:val="0"/>
        <w:jc w:val="both"/>
        <w:rPr>
          <w:rFonts w:ascii="Times New Roman" w:hAnsi="Times New Roman"/>
          <w:sz w:val="24"/>
          <w:szCs w:val="24"/>
        </w:rPr>
      </w:pPr>
      <w:r w:rsidRPr="00CC4AEB">
        <w:rPr>
          <w:rFonts w:ascii="Times New Roman" w:hAnsi="Times New Roman"/>
          <w:sz w:val="24"/>
          <w:szCs w:val="24"/>
        </w:rPr>
        <w:t xml:space="preserve">The participation of </w:t>
      </w:r>
      <w:r w:rsidR="00473C1F" w:rsidRPr="00CC4AEB">
        <w:rPr>
          <w:rFonts w:ascii="Times New Roman" w:hAnsi="Times New Roman"/>
          <w:sz w:val="24"/>
          <w:szCs w:val="24"/>
        </w:rPr>
        <w:t xml:space="preserve">a </w:t>
      </w:r>
      <w:r w:rsidRPr="00CC4AEB">
        <w:rPr>
          <w:rFonts w:ascii="Times New Roman" w:hAnsi="Times New Roman"/>
          <w:sz w:val="24"/>
          <w:szCs w:val="24"/>
        </w:rPr>
        <w:t xml:space="preserve">beneficiary is terminated (e.g. bankruptcy): </w:t>
      </w:r>
      <w:r w:rsidRPr="00CC4AEB">
        <w:rPr>
          <w:rFonts w:ascii="Times New Roman" w:hAnsi="Times New Roman"/>
          <w:sz w:val="24"/>
          <w:szCs w:val="24"/>
          <w:u w:val="single"/>
        </w:rPr>
        <w:t xml:space="preserve">basically as </w:t>
      </w:r>
      <w:r w:rsidR="005F41F8">
        <w:rPr>
          <w:rFonts w:ascii="Times New Roman" w:hAnsi="Times New Roman"/>
          <w:sz w:val="24"/>
          <w:szCs w:val="24"/>
          <w:u w:val="single"/>
        </w:rPr>
        <w:t>in the general grant agreement.</w:t>
      </w:r>
      <w:r w:rsidRPr="00CC4AEB">
        <w:rPr>
          <w:rFonts w:ascii="Times New Roman" w:hAnsi="Times New Roman"/>
          <w:sz w:val="24"/>
          <w:szCs w:val="24"/>
        </w:rPr>
        <w:t xml:space="preserve"> The Commission has a contradictory procedure for </w:t>
      </w:r>
      <w:r w:rsidR="000D0789">
        <w:rPr>
          <w:rFonts w:ascii="Times New Roman" w:hAnsi="Times New Roman"/>
          <w:sz w:val="24"/>
          <w:szCs w:val="24"/>
        </w:rPr>
        <w:t xml:space="preserve">the </w:t>
      </w:r>
      <w:r w:rsidRPr="00CC4AEB">
        <w:rPr>
          <w:rFonts w:ascii="Times New Roman" w:hAnsi="Times New Roman"/>
          <w:sz w:val="24"/>
          <w:szCs w:val="24"/>
        </w:rPr>
        <w:t xml:space="preserve">termination. The contradictory procedure will include a contradictory on the share of the lump sum the beneficiary is entitled to (i.e. its share in the WP approved + an estimated share </w:t>
      </w:r>
      <w:r w:rsidR="002D4FBD">
        <w:rPr>
          <w:rFonts w:ascii="Times New Roman" w:hAnsi="Times New Roman"/>
          <w:sz w:val="24"/>
          <w:szCs w:val="24"/>
        </w:rPr>
        <w:t>in</w:t>
      </w:r>
      <w:r w:rsidRPr="00CC4AEB">
        <w:rPr>
          <w:rFonts w:ascii="Times New Roman" w:hAnsi="Times New Roman"/>
          <w:sz w:val="24"/>
          <w:szCs w:val="24"/>
        </w:rPr>
        <w:t xml:space="preserve"> the WP</w:t>
      </w:r>
      <w:r w:rsidR="002D4FBD">
        <w:rPr>
          <w:rFonts w:ascii="Times New Roman" w:hAnsi="Times New Roman"/>
          <w:sz w:val="24"/>
          <w:szCs w:val="24"/>
        </w:rPr>
        <w:t>s</w:t>
      </w:r>
      <w:r w:rsidRPr="00CC4AEB">
        <w:rPr>
          <w:rFonts w:ascii="Times New Roman" w:hAnsi="Times New Roman"/>
          <w:sz w:val="24"/>
          <w:szCs w:val="24"/>
        </w:rPr>
        <w:t xml:space="preserve"> on-going corresponding to the work it delivered). </w:t>
      </w:r>
      <w:r w:rsidR="00B10C38" w:rsidRPr="00CC4AEB">
        <w:rPr>
          <w:rFonts w:ascii="Times New Roman" w:hAnsi="Times New Roman"/>
          <w:sz w:val="24"/>
          <w:szCs w:val="24"/>
        </w:rPr>
        <w:t xml:space="preserve">The coordinator </w:t>
      </w:r>
      <w:r w:rsidR="00473C1F" w:rsidRPr="00CC4AEB">
        <w:rPr>
          <w:rFonts w:ascii="Times New Roman" w:hAnsi="Times New Roman"/>
          <w:sz w:val="24"/>
          <w:szCs w:val="24"/>
        </w:rPr>
        <w:t xml:space="preserve">must </w:t>
      </w:r>
      <w:r w:rsidR="00B10C38" w:rsidRPr="00CC4AEB">
        <w:rPr>
          <w:rFonts w:ascii="Times New Roman" w:hAnsi="Times New Roman"/>
          <w:sz w:val="24"/>
          <w:szCs w:val="24"/>
        </w:rPr>
        <w:t>report on how much</w:t>
      </w:r>
      <w:r w:rsidR="00667217" w:rsidRPr="00CC4AEB">
        <w:rPr>
          <w:rFonts w:ascii="Times New Roman" w:hAnsi="Times New Roman"/>
          <w:sz w:val="24"/>
          <w:szCs w:val="24"/>
        </w:rPr>
        <w:t xml:space="preserve"> </w:t>
      </w:r>
      <w:r w:rsidR="00B10C38" w:rsidRPr="00CC4AEB">
        <w:rPr>
          <w:rFonts w:ascii="Times New Roman" w:hAnsi="Times New Roman"/>
          <w:sz w:val="24"/>
          <w:szCs w:val="24"/>
        </w:rPr>
        <w:t>it has pa</w:t>
      </w:r>
      <w:r w:rsidR="00FF76BD">
        <w:rPr>
          <w:rFonts w:ascii="Times New Roman" w:hAnsi="Times New Roman"/>
          <w:sz w:val="24"/>
          <w:szCs w:val="24"/>
        </w:rPr>
        <w:t>id</w:t>
      </w:r>
      <w:r w:rsidR="00B10C38" w:rsidRPr="00CC4AEB">
        <w:rPr>
          <w:rFonts w:ascii="Times New Roman" w:hAnsi="Times New Roman"/>
          <w:sz w:val="24"/>
          <w:szCs w:val="24"/>
        </w:rPr>
        <w:t xml:space="preserve"> to that beneficiary. </w:t>
      </w:r>
    </w:p>
    <w:p w:rsidR="00FF1BF4" w:rsidRDefault="00B10C38" w:rsidP="002D4FBD">
      <w:pPr>
        <w:pStyle w:val="ListParagraph"/>
        <w:spacing w:before="240"/>
        <w:ind w:left="851"/>
        <w:contextualSpacing w:val="0"/>
        <w:jc w:val="both"/>
        <w:rPr>
          <w:rFonts w:ascii="Times New Roman" w:hAnsi="Times New Roman"/>
          <w:sz w:val="24"/>
          <w:szCs w:val="24"/>
        </w:rPr>
      </w:pPr>
      <w:r w:rsidRPr="00CC4AEB">
        <w:rPr>
          <w:rFonts w:ascii="Times New Roman" w:hAnsi="Times New Roman"/>
          <w:sz w:val="24"/>
          <w:szCs w:val="24"/>
        </w:rPr>
        <w:t>If payments</w:t>
      </w:r>
      <w:r w:rsidR="00A83E22" w:rsidRPr="00CC4AEB">
        <w:rPr>
          <w:rFonts w:ascii="Times New Roman" w:hAnsi="Times New Roman"/>
          <w:sz w:val="24"/>
          <w:szCs w:val="24"/>
        </w:rPr>
        <w:t xml:space="preserve"> from coordinator</w:t>
      </w:r>
      <w:r w:rsidRPr="00CC4AEB">
        <w:rPr>
          <w:rFonts w:ascii="Times New Roman" w:hAnsi="Times New Roman"/>
          <w:sz w:val="24"/>
          <w:szCs w:val="24"/>
        </w:rPr>
        <w:t xml:space="preserve"> &gt; entitlement </w:t>
      </w:r>
      <w:r w:rsidRPr="00CC4AEB">
        <w:rPr>
          <w:rFonts w:ascii="Times New Roman" w:hAnsi="Times New Roman"/>
          <w:sz w:val="24"/>
          <w:szCs w:val="24"/>
        </w:rPr>
        <w:sym w:font="Wingdings" w:char="F0E0"/>
      </w:r>
      <w:r w:rsidRPr="00CC4AEB">
        <w:rPr>
          <w:rFonts w:ascii="Times New Roman" w:hAnsi="Times New Roman"/>
          <w:sz w:val="24"/>
          <w:szCs w:val="24"/>
        </w:rPr>
        <w:t xml:space="preserve"> the beneficiary must repay the coordinator. If it does not rep</w:t>
      </w:r>
      <w:r w:rsidR="00241293" w:rsidRPr="00CC4AEB">
        <w:rPr>
          <w:rFonts w:ascii="Times New Roman" w:hAnsi="Times New Roman"/>
          <w:sz w:val="24"/>
          <w:szCs w:val="24"/>
        </w:rPr>
        <w:t>a</w:t>
      </w:r>
      <w:r w:rsidRPr="00CC4AEB">
        <w:rPr>
          <w:rFonts w:ascii="Times New Roman" w:hAnsi="Times New Roman"/>
          <w:sz w:val="24"/>
          <w:szCs w:val="24"/>
        </w:rPr>
        <w:t>y, then the Guarantee Fund will intervene.</w:t>
      </w:r>
    </w:p>
    <w:p w:rsidR="002D4FBD" w:rsidRPr="00CC4AEB" w:rsidRDefault="002D4FBD" w:rsidP="002D4FBD">
      <w:pPr>
        <w:pStyle w:val="ListParagraph"/>
        <w:spacing w:before="240"/>
        <w:ind w:left="851"/>
        <w:contextualSpacing w:val="0"/>
        <w:jc w:val="both"/>
        <w:rPr>
          <w:rFonts w:ascii="Times New Roman" w:hAnsi="Times New Roman"/>
          <w:sz w:val="24"/>
          <w:szCs w:val="24"/>
        </w:rPr>
      </w:pPr>
      <w:r w:rsidRPr="00CC4AEB">
        <w:rPr>
          <w:rFonts w:ascii="Times New Roman" w:hAnsi="Times New Roman"/>
          <w:sz w:val="24"/>
          <w:szCs w:val="24"/>
        </w:rPr>
        <w:t xml:space="preserve">If payments from coordinator </w:t>
      </w:r>
      <w:r>
        <w:rPr>
          <w:rFonts w:ascii="Times New Roman" w:hAnsi="Times New Roman"/>
          <w:sz w:val="24"/>
          <w:szCs w:val="24"/>
        </w:rPr>
        <w:t>&lt;</w:t>
      </w:r>
      <w:r w:rsidRPr="00CC4AEB">
        <w:rPr>
          <w:rFonts w:ascii="Times New Roman" w:hAnsi="Times New Roman"/>
          <w:sz w:val="24"/>
          <w:szCs w:val="24"/>
        </w:rPr>
        <w:t xml:space="preserve"> entitlement </w:t>
      </w:r>
      <w:r w:rsidRPr="00CC4AEB">
        <w:rPr>
          <w:rFonts w:ascii="Times New Roman" w:hAnsi="Times New Roman"/>
          <w:sz w:val="24"/>
          <w:szCs w:val="24"/>
        </w:rPr>
        <w:sym w:font="Wingdings" w:char="F0E0"/>
      </w:r>
      <w:r w:rsidRPr="00CC4AEB">
        <w:rPr>
          <w:rFonts w:ascii="Times New Roman" w:hAnsi="Times New Roman"/>
          <w:sz w:val="24"/>
          <w:szCs w:val="24"/>
        </w:rPr>
        <w:t xml:space="preserve"> the </w:t>
      </w:r>
      <w:r>
        <w:rPr>
          <w:rFonts w:ascii="Times New Roman" w:hAnsi="Times New Roman"/>
          <w:sz w:val="24"/>
          <w:szCs w:val="24"/>
        </w:rPr>
        <w:t xml:space="preserve">coordinator should pay the difference to the beneficiary in accordance with the consortium agreement. The share </w:t>
      </w:r>
      <w:r>
        <w:rPr>
          <w:rFonts w:ascii="Times New Roman" w:hAnsi="Times New Roman"/>
          <w:sz w:val="24"/>
          <w:szCs w:val="24"/>
        </w:rPr>
        <w:lastRenderedPageBreak/>
        <w:t>of the on-going WPs accepted for the terminated beneficiary can be reported in the subsequent reporting period eve</w:t>
      </w:r>
      <w:r w:rsidR="004B5211">
        <w:rPr>
          <w:rFonts w:ascii="Times New Roman" w:hAnsi="Times New Roman"/>
          <w:sz w:val="24"/>
          <w:szCs w:val="24"/>
        </w:rPr>
        <w:t>n if those WP</w:t>
      </w:r>
      <w:r w:rsidR="000D0789">
        <w:rPr>
          <w:rFonts w:ascii="Times New Roman" w:hAnsi="Times New Roman"/>
          <w:sz w:val="24"/>
          <w:szCs w:val="24"/>
        </w:rPr>
        <w:t>s</w:t>
      </w:r>
      <w:r w:rsidR="004B5211">
        <w:rPr>
          <w:rFonts w:ascii="Times New Roman" w:hAnsi="Times New Roman"/>
          <w:sz w:val="24"/>
          <w:szCs w:val="24"/>
        </w:rPr>
        <w:t xml:space="preserve"> are not completed (exception to the general rule).</w:t>
      </w:r>
    </w:p>
    <w:p w:rsidR="00B10C38" w:rsidRDefault="00B10C38" w:rsidP="00667217">
      <w:pPr>
        <w:spacing w:before="240"/>
        <w:jc w:val="both"/>
        <w:rPr>
          <w:rFonts w:ascii="Times New Roman" w:hAnsi="Times New Roman"/>
          <w:sz w:val="24"/>
          <w:szCs w:val="24"/>
        </w:rPr>
      </w:pPr>
    </w:p>
    <w:p w:rsidR="00DF47C9" w:rsidRPr="00F45BB6" w:rsidRDefault="00DF47C9" w:rsidP="00FE3E63">
      <w:pPr>
        <w:shd w:val="clear" w:color="auto" w:fill="F2DBDB" w:themeFill="accent2" w:themeFillTint="33"/>
        <w:jc w:val="both"/>
        <w:rPr>
          <w:rFonts w:ascii="Times New Roman" w:hAnsi="Times New Roman"/>
          <w:b/>
          <w:sz w:val="28"/>
          <w:szCs w:val="24"/>
        </w:rPr>
      </w:pPr>
      <w:r w:rsidRPr="00F45BB6">
        <w:rPr>
          <w:rFonts w:ascii="Times New Roman" w:hAnsi="Times New Roman"/>
          <w:b/>
          <w:sz w:val="28"/>
          <w:szCs w:val="24"/>
        </w:rPr>
        <w:t>Payment of the balance</w:t>
      </w:r>
    </w:p>
    <w:p w:rsidR="00F45BB6" w:rsidRPr="00F45BB6" w:rsidRDefault="00F45BB6" w:rsidP="00FE3E63">
      <w:pPr>
        <w:shd w:val="clear" w:color="auto" w:fill="F2DBDB" w:themeFill="accent2" w:themeFillTint="33"/>
        <w:jc w:val="both"/>
        <w:rPr>
          <w:rFonts w:ascii="Times New Roman" w:hAnsi="Times New Roman"/>
          <w:b/>
          <w:sz w:val="18"/>
          <w:szCs w:val="18"/>
        </w:rPr>
      </w:pPr>
    </w:p>
    <w:p w:rsidR="00DF47C9" w:rsidRPr="00CC4AEB" w:rsidRDefault="00DF47C9" w:rsidP="00667217">
      <w:pPr>
        <w:pStyle w:val="ListParagraph"/>
        <w:numPr>
          <w:ilvl w:val="0"/>
          <w:numId w:val="1"/>
        </w:numPr>
        <w:spacing w:before="240"/>
        <w:ind w:left="357" w:hanging="357"/>
        <w:contextualSpacing w:val="0"/>
        <w:jc w:val="both"/>
        <w:rPr>
          <w:rFonts w:ascii="Times New Roman" w:hAnsi="Times New Roman"/>
          <w:b/>
          <w:sz w:val="24"/>
          <w:szCs w:val="24"/>
        </w:rPr>
      </w:pPr>
      <w:r w:rsidRPr="00CC4AEB">
        <w:rPr>
          <w:rFonts w:ascii="Times New Roman" w:hAnsi="Times New Roman"/>
          <w:b/>
          <w:sz w:val="24"/>
          <w:szCs w:val="24"/>
        </w:rPr>
        <w:t>I</w:t>
      </w:r>
      <w:r w:rsidR="002D4FBD">
        <w:rPr>
          <w:rFonts w:ascii="Times New Roman" w:hAnsi="Times New Roman"/>
          <w:b/>
          <w:sz w:val="24"/>
          <w:szCs w:val="24"/>
        </w:rPr>
        <w:t>f</w:t>
      </w:r>
      <w:r w:rsidRPr="00CC4AEB">
        <w:rPr>
          <w:rFonts w:ascii="Times New Roman" w:hAnsi="Times New Roman"/>
          <w:b/>
          <w:sz w:val="24"/>
          <w:szCs w:val="24"/>
        </w:rPr>
        <w:t xml:space="preserve"> </w:t>
      </w:r>
      <w:r w:rsidR="002D4FBD">
        <w:rPr>
          <w:rFonts w:ascii="Times New Roman" w:hAnsi="Times New Roman"/>
          <w:b/>
          <w:sz w:val="24"/>
          <w:szCs w:val="24"/>
        </w:rPr>
        <w:t>all</w:t>
      </w:r>
      <w:r w:rsidRPr="00CC4AEB">
        <w:rPr>
          <w:rFonts w:ascii="Times New Roman" w:hAnsi="Times New Roman"/>
          <w:b/>
          <w:sz w:val="24"/>
          <w:szCs w:val="24"/>
        </w:rPr>
        <w:t xml:space="preserve"> OK: </w:t>
      </w:r>
      <w:r w:rsidR="00667217" w:rsidRPr="00CC4AEB">
        <w:rPr>
          <w:rFonts w:ascii="Times New Roman" w:hAnsi="Times New Roman"/>
          <w:sz w:val="24"/>
          <w:szCs w:val="24"/>
        </w:rPr>
        <w:t>payment</w:t>
      </w:r>
      <w:r w:rsidR="00473C1F" w:rsidRPr="00CC4AEB">
        <w:rPr>
          <w:rFonts w:ascii="Times New Roman" w:hAnsi="Times New Roman"/>
          <w:sz w:val="24"/>
          <w:szCs w:val="24"/>
        </w:rPr>
        <w:t xml:space="preserve"> of the remaining lump sum</w:t>
      </w:r>
      <w:r w:rsidR="00667217" w:rsidRPr="00CC4AEB">
        <w:rPr>
          <w:rFonts w:ascii="Times New Roman" w:hAnsi="Times New Roman"/>
          <w:sz w:val="24"/>
          <w:szCs w:val="24"/>
        </w:rPr>
        <w:t xml:space="preserve"> </w:t>
      </w:r>
      <w:r w:rsidR="00241293" w:rsidRPr="00CC4AEB">
        <w:rPr>
          <w:rFonts w:ascii="Times New Roman" w:hAnsi="Times New Roman"/>
          <w:sz w:val="24"/>
          <w:szCs w:val="24"/>
        </w:rPr>
        <w:t xml:space="preserve">(total lump sum </w:t>
      </w:r>
      <w:r w:rsidR="002D4FBD">
        <w:rPr>
          <w:rFonts w:ascii="Times New Roman" w:hAnsi="Times New Roman"/>
          <w:sz w:val="24"/>
          <w:szCs w:val="24"/>
        </w:rPr>
        <w:t xml:space="preserve">minus </w:t>
      </w:r>
      <w:r w:rsidR="00241293" w:rsidRPr="00CC4AEB">
        <w:rPr>
          <w:rFonts w:ascii="Times New Roman" w:hAnsi="Times New Roman"/>
          <w:sz w:val="24"/>
          <w:szCs w:val="24"/>
        </w:rPr>
        <w:t xml:space="preserve">payments already made) </w:t>
      </w:r>
      <w:r w:rsidR="00667217" w:rsidRPr="00CC4AEB">
        <w:rPr>
          <w:rFonts w:ascii="Times New Roman" w:hAnsi="Times New Roman"/>
          <w:sz w:val="24"/>
          <w:szCs w:val="24"/>
        </w:rPr>
        <w:t xml:space="preserve">and </w:t>
      </w:r>
      <w:r w:rsidRPr="00CC4AEB">
        <w:rPr>
          <w:rFonts w:ascii="Times New Roman" w:hAnsi="Times New Roman"/>
          <w:sz w:val="24"/>
          <w:szCs w:val="24"/>
        </w:rPr>
        <w:t xml:space="preserve">release of the </w:t>
      </w:r>
      <w:r w:rsidR="00667217" w:rsidRPr="00CC4AEB">
        <w:rPr>
          <w:rFonts w:ascii="Times New Roman" w:hAnsi="Times New Roman"/>
          <w:sz w:val="24"/>
          <w:szCs w:val="24"/>
        </w:rPr>
        <w:t>5 % retained for the Guarantee Fund</w:t>
      </w:r>
      <w:r w:rsidR="00241293" w:rsidRPr="00CC4AEB">
        <w:rPr>
          <w:rFonts w:ascii="Times New Roman" w:hAnsi="Times New Roman"/>
          <w:sz w:val="24"/>
          <w:szCs w:val="24"/>
        </w:rPr>
        <w:t>.</w:t>
      </w:r>
    </w:p>
    <w:p w:rsidR="00DF47C9" w:rsidRPr="00CC4AEB" w:rsidRDefault="00DF47C9" w:rsidP="00667217">
      <w:pPr>
        <w:pStyle w:val="ListParagraph"/>
        <w:numPr>
          <w:ilvl w:val="0"/>
          <w:numId w:val="1"/>
        </w:numPr>
        <w:spacing w:before="240"/>
        <w:ind w:left="363"/>
        <w:contextualSpacing w:val="0"/>
        <w:jc w:val="both"/>
        <w:rPr>
          <w:rFonts w:ascii="Times New Roman" w:hAnsi="Times New Roman"/>
          <w:b/>
          <w:sz w:val="24"/>
          <w:szCs w:val="24"/>
        </w:rPr>
      </w:pPr>
      <w:r w:rsidRPr="00CC4AEB">
        <w:rPr>
          <w:rFonts w:ascii="Times New Roman" w:hAnsi="Times New Roman"/>
          <w:b/>
          <w:sz w:val="24"/>
          <w:szCs w:val="24"/>
        </w:rPr>
        <w:t>I</w:t>
      </w:r>
      <w:r w:rsidR="002D4FBD">
        <w:rPr>
          <w:rFonts w:ascii="Times New Roman" w:hAnsi="Times New Roman"/>
          <w:b/>
          <w:sz w:val="24"/>
          <w:szCs w:val="24"/>
        </w:rPr>
        <w:t>f</w:t>
      </w:r>
      <w:r w:rsidRPr="00CC4AEB">
        <w:rPr>
          <w:rFonts w:ascii="Times New Roman" w:hAnsi="Times New Roman"/>
          <w:b/>
          <w:sz w:val="24"/>
          <w:szCs w:val="24"/>
        </w:rPr>
        <w:t xml:space="preserve"> </w:t>
      </w:r>
      <w:r w:rsidRPr="00CC4AEB">
        <w:rPr>
          <w:rFonts w:ascii="Times New Roman" w:hAnsi="Times New Roman"/>
          <w:b/>
          <w:sz w:val="24"/>
          <w:szCs w:val="24"/>
          <w:u w:val="single"/>
        </w:rPr>
        <w:t>NOT</w:t>
      </w:r>
      <w:r w:rsidRPr="00CC4AEB">
        <w:rPr>
          <w:rFonts w:ascii="Times New Roman" w:hAnsi="Times New Roman"/>
          <w:b/>
          <w:sz w:val="24"/>
          <w:szCs w:val="24"/>
        </w:rPr>
        <w:t xml:space="preserve"> </w:t>
      </w:r>
      <w:r w:rsidR="002D4FBD">
        <w:rPr>
          <w:rFonts w:ascii="Times New Roman" w:hAnsi="Times New Roman"/>
          <w:b/>
          <w:sz w:val="24"/>
          <w:szCs w:val="24"/>
        </w:rPr>
        <w:t>all</w:t>
      </w:r>
      <w:r w:rsidRPr="00CC4AEB">
        <w:rPr>
          <w:rFonts w:ascii="Times New Roman" w:hAnsi="Times New Roman"/>
          <w:b/>
          <w:sz w:val="24"/>
          <w:szCs w:val="24"/>
        </w:rPr>
        <w:t xml:space="preserve"> OK</w:t>
      </w:r>
      <w:r w:rsidRPr="00CC4AEB">
        <w:rPr>
          <w:rFonts w:ascii="Times New Roman" w:hAnsi="Times New Roman"/>
          <w:sz w:val="24"/>
          <w:szCs w:val="24"/>
        </w:rPr>
        <w:t xml:space="preserve">: </w:t>
      </w:r>
      <w:r w:rsidR="00A83E22" w:rsidRPr="00CC4AEB">
        <w:rPr>
          <w:rFonts w:ascii="Times New Roman" w:hAnsi="Times New Roman"/>
          <w:sz w:val="24"/>
          <w:szCs w:val="24"/>
        </w:rPr>
        <w:t xml:space="preserve">e.g. </w:t>
      </w:r>
      <w:r w:rsidRPr="00CC4AEB">
        <w:rPr>
          <w:rFonts w:ascii="Times New Roman" w:hAnsi="Times New Roman"/>
          <w:sz w:val="24"/>
          <w:szCs w:val="24"/>
        </w:rPr>
        <w:t xml:space="preserve">one or several WP </w:t>
      </w:r>
      <w:r w:rsidR="00B41FFB">
        <w:rPr>
          <w:rFonts w:ascii="Times New Roman" w:hAnsi="Times New Roman"/>
          <w:sz w:val="24"/>
          <w:szCs w:val="24"/>
        </w:rPr>
        <w:t>were</w:t>
      </w:r>
      <w:r w:rsidRPr="00CC4AEB">
        <w:rPr>
          <w:rFonts w:ascii="Times New Roman" w:hAnsi="Times New Roman"/>
          <w:sz w:val="24"/>
          <w:szCs w:val="24"/>
        </w:rPr>
        <w:t xml:space="preserve"> not </w:t>
      </w:r>
      <w:r w:rsidR="002026FC" w:rsidRPr="00CC4AEB">
        <w:rPr>
          <w:rFonts w:ascii="Times New Roman" w:hAnsi="Times New Roman"/>
          <w:sz w:val="24"/>
          <w:szCs w:val="24"/>
        </w:rPr>
        <w:t>properly implemented</w:t>
      </w:r>
      <w:r w:rsidRPr="00CC4AEB">
        <w:rPr>
          <w:rFonts w:ascii="Times New Roman" w:hAnsi="Times New Roman"/>
          <w:sz w:val="24"/>
          <w:szCs w:val="24"/>
        </w:rPr>
        <w:t xml:space="preserve"> and will be rejected: </w:t>
      </w:r>
    </w:p>
    <w:p w:rsidR="00DF47C9" w:rsidRPr="00CC4AEB" w:rsidRDefault="000D0789" w:rsidP="00667217">
      <w:pPr>
        <w:pStyle w:val="ListParagraph"/>
        <w:ind w:left="723"/>
        <w:jc w:val="both"/>
        <w:rPr>
          <w:rFonts w:ascii="Times New Roman" w:hAnsi="Times New Roman"/>
          <w:b/>
          <w:sz w:val="24"/>
          <w:szCs w:val="24"/>
        </w:rPr>
      </w:pPr>
      <w:r>
        <w:rPr>
          <w:rFonts w:ascii="Times New Roman" w:hAnsi="Times New Roman"/>
          <w:b/>
          <w:sz w:val="24"/>
          <w:szCs w:val="24"/>
        </w:rPr>
        <w:t xml:space="preserve"> </w:t>
      </w:r>
    </w:p>
    <w:p w:rsidR="00DF47C9" w:rsidRDefault="00DF47C9" w:rsidP="004B5211">
      <w:pPr>
        <w:pStyle w:val="ListParagraph"/>
        <w:numPr>
          <w:ilvl w:val="2"/>
          <w:numId w:val="1"/>
        </w:numPr>
        <w:spacing w:after="240"/>
        <w:ind w:left="1690" w:hanging="851"/>
        <w:contextualSpacing w:val="0"/>
        <w:jc w:val="both"/>
        <w:rPr>
          <w:rFonts w:ascii="Times New Roman" w:hAnsi="Times New Roman"/>
          <w:sz w:val="24"/>
          <w:szCs w:val="24"/>
        </w:rPr>
      </w:pPr>
      <w:r w:rsidRPr="00CC4AEB">
        <w:rPr>
          <w:rFonts w:ascii="Times New Roman" w:hAnsi="Times New Roman"/>
          <w:sz w:val="24"/>
          <w:szCs w:val="24"/>
        </w:rPr>
        <w:t>Before rejection</w:t>
      </w:r>
      <w:r w:rsidR="008B2C99">
        <w:rPr>
          <w:rFonts w:ascii="Times New Roman" w:hAnsi="Times New Roman"/>
          <w:sz w:val="24"/>
          <w:szCs w:val="24"/>
        </w:rPr>
        <w:t xml:space="preserve"> of the WP</w:t>
      </w:r>
      <w:r w:rsidRPr="00CC4AEB">
        <w:rPr>
          <w:rFonts w:ascii="Times New Roman" w:hAnsi="Times New Roman"/>
          <w:sz w:val="24"/>
          <w:szCs w:val="24"/>
        </w:rPr>
        <w:t xml:space="preserve"> the </w:t>
      </w:r>
      <w:r w:rsidR="004B5211">
        <w:rPr>
          <w:rFonts w:ascii="Times New Roman" w:hAnsi="Times New Roman"/>
          <w:sz w:val="24"/>
          <w:szCs w:val="24"/>
        </w:rPr>
        <w:t>Commission/Agency</w:t>
      </w:r>
      <w:r w:rsidRPr="00CC4AEB">
        <w:rPr>
          <w:rFonts w:ascii="Times New Roman" w:hAnsi="Times New Roman"/>
          <w:sz w:val="24"/>
          <w:szCs w:val="24"/>
        </w:rPr>
        <w:t xml:space="preserve"> has a contradictory procedure with the coo</w:t>
      </w:r>
      <w:r w:rsidR="00994488" w:rsidRPr="00CC4AEB">
        <w:rPr>
          <w:rFonts w:ascii="Times New Roman" w:hAnsi="Times New Roman"/>
          <w:sz w:val="24"/>
          <w:szCs w:val="24"/>
        </w:rPr>
        <w:t>rdinator (request for comments). T</w:t>
      </w:r>
      <w:r w:rsidRPr="00CC4AEB">
        <w:rPr>
          <w:rFonts w:ascii="Times New Roman" w:hAnsi="Times New Roman"/>
          <w:sz w:val="24"/>
          <w:szCs w:val="24"/>
        </w:rPr>
        <w:t>he payment deadline is suspended</w:t>
      </w:r>
      <w:r w:rsidR="00994488" w:rsidRPr="00CC4AEB">
        <w:rPr>
          <w:rFonts w:ascii="Times New Roman" w:hAnsi="Times New Roman"/>
          <w:sz w:val="24"/>
          <w:szCs w:val="24"/>
        </w:rPr>
        <w:t>.</w:t>
      </w:r>
    </w:p>
    <w:p w:rsidR="008B2C99" w:rsidRPr="008B2C99" w:rsidRDefault="008B2C99" w:rsidP="008B2C99">
      <w:pPr>
        <w:pStyle w:val="ListParagraph"/>
        <w:numPr>
          <w:ilvl w:val="2"/>
          <w:numId w:val="1"/>
        </w:numPr>
        <w:spacing w:before="120"/>
        <w:ind w:left="1690" w:hanging="851"/>
        <w:contextualSpacing w:val="0"/>
        <w:jc w:val="both"/>
        <w:rPr>
          <w:rFonts w:ascii="Times New Roman" w:hAnsi="Times New Roman"/>
          <w:sz w:val="24"/>
          <w:szCs w:val="24"/>
        </w:rPr>
      </w:pPr>
      <w:r w:rsidRPr="008B2C99">
        <w:rPr>
          <w:rFonts w:ascii="Times New Roman" w:hAnsi="Times New Roman"/>
          <w:sz w:val="24"/>
          <w:szCs w:val="24"/>
        </w:rPr>
        <w:t xml:space="preserve">If the WP is definitively rejected the grant will be reduced by (all or part of) the </w:t>
      </w:r>
      <w:r w:rsidR="00337245">
        <w:rPr>
          <w:rFonts w:ascii="Times New Roman" w:hAnsi="Times New Roman"/>
          <w:sz w:val="24"/>
          <w:szCs w:val="24"/>
        </w:rPr>
        <w:t xml:space="preserve">share of the </w:t>
      </w:r>
      <w:r w:rsidRPr="008B2C99">
        <w:rPr>
          <w:rFonts w:ascii="Times New Roman" w:hAnsi="Times New Roman"/>
          <w:sz w:val="24"/>
          <w:szCs w:val="24"/>
        </w:rPr>
        <w:t>lump sum for th</w:t>
      </w:r>
      <w:r>
        <w:rPr>
          <w:rFonts w:ascii="Times New Roman" w:hAnsi="Times New Roman"/>
          <w:sz w:val="24"/>
          <w:szCs w:val="24"/>
        </w:rPr>
        <w:t>at</w:t>
      </w:r>
      <w:r w:rsidRPr="008B2C99">
        <w:rPr>
          <w:rFonts w:ascii="Times New Roman" w:hAnsi="Times New Roman"/>
          <w:sz w:val="24"/>
          <w:szCs w:val="24"/>
        </w:rPr>
        <w:t xml:space="preserve"> WP. Therefore, that amount will </w:t>
      </w:r>
      <w:r w:rsidR="004B5211" w:rsidRPr="008B2C99">
        <w:rPr>
          <w:rFonts w:ascii="Times New Roman" w:hAnsi="Times New Roman"/>
          <w:sz w:val="24"/>
          <w:szCs w:val="24"/>
        </w:rPr>
        <w:t>be lost for the consortium</w:t>
      </w:r>
      <w:r w:rsidR="004B5211">
        <w:rPr>
          <w:rFonts w:ascii="Times New Roman" w:hAnsi="Times New Roman"/>
          <w:sz w:val="24"/>
          <w:szCs w:val="24"/>
        </w:rPr>
        <w:t xml:space="preserve"> and</w:t>
      </w:r>
      <w:r w:rsidRPr="008B2C99">
        <w:rPr>
          <w:rFonts w:ascii="Times New Roman" w:hAnsi="Times New Roman"/>
          <w:sz w:val="24"/>
          <w:szCs w:val="24"/>
        </w:rPr>
        <w:t xml:space="preserve"> </w:t>
      </w:r>
      <w:r w:rsidRPr="00CC4AEB">
        <w:rPr>
          <w:rFonts w:ascii="Times New Roman" w:hAnsi="Times New Roman"/>
          <w:sz w:val="24"/>
          <w:szCs w:val="24"/>
        </w:rPr>
        <w:t xml:space="preserve">it will be deducted </w:t>
      </w:r>
      <w:r w:rsidR="004B5211">
        <w:rPr>
          <w:rFonts w:ascii="Times New Roman" w:hAnsi="Times New Roman"/>
          <w:sz w:val="24"/>
          <w:szCs w:val="24"/>
        </w:rPr>
        <w:t xml:space="preserve">for the calculation of </w:t>
      </w:r>
      <w:r w:rsidRPr="00CC4AEB">
        <w:rPr>
          <w:rFonts w:ascii="Times New Roman" w:hAnsi="Times New Roman"/>
          <w:sz w:val="24"/>
          <w:szCs w:val="24"/>
        </w:rPr>
        <w:t>the payment of the balance</w:t>
      </w:r>
      <w:r w:rsidRPr="008B2C99">
        <w:rPr>
          <w:rFonts w:ascii="Times New Roman" w:hAnsi="Times New Roman"/>
          <w:sz w:val="24"/>
          <w:szCs w:val="24"/>
        </w:rPr>
        <w:t>.</w:t>
      </w:r>
    </w:p>
    <w:p w:rsidR="00DF47C9" w:rsidRPr="00CC4AEB" w:rsidRDefault="00DF47C9" w:rsidP="004B5211">
      <w:pPr>
        <w:pStyle w:val="ListParagraph"/>
        <w:numPr>
          <w:ilvl w:val="0"/>
          <w:numId w:val="3"/>
        </w:numPr>
        <w:spacing w:before="240"/>
        <w:ind w:left="1984" w:hanging="357"/>
        <w:contextualSpacing w:val="0"/>
        <w:jc w:val="both"/>
        <w:rPr>
          <w:rFonts w:ascii="Times New Roman" w:hAnsi="Times New Roman"/>
          <w:sz w:val="24"/>
          <w:szCs w:val="24"/>
        </w:rPr>
      </w:pPr>
      <w:r w:rsidRPr="00CC4AEB">
        <w:rPr>
          <w:rFonts w:ascii="Times New Roman" w:hAnsi="Times New Roman"/>
          <w:sz w:val="24"/>
          <w:szCs w:val="24"/>
        </w:rPr>
        <w:t>If there is still a positive balance, the Commission will pay</w:t>
      </w:r>
      <w:r w:rsidR="0017218E" w:rsidRPr="00CC4AEB">
        <w:rPr>
          <w:rFonts w:ascii="Times New Roman" w:hAnsi="Times New Roman"/>
          <w:sz w:val="24"/>
          <w:szCs w:val="24"/>
        </w:rPr>
        <w:t xml:space="preserve"> to the coordinator </w:t>
      </w:r>
      <w:r w:rsidRPr="00CC4AEB">
        <w:rPr>
          <w:rFonts w:ascii="Times New Roman" w:hAnsi="Times New Roman"/>
          <w:sz w:val="24"/>
          <w:szCs w:val="24"/>
        </w:rPr>
        <w:t xml:space="preserve">only that positive balance. The consortium </w:t>
      </w:r>
      <w:r w:rsidR="004B5211">
        <w:rPr>
          <w:rFonts w:ascii="Times New Roman" w:hAnsi="Times New Roman"/>
          <w:sz w:val="24"/>
          <w:szCs w:val="24"/>
        </w:rPr>
        <w:t>should</w:t>
      </w:r>
      <w:r w:rsidRPr="00CC4AEB">
        <w:rPr>
          <w:rFonts w:ascii="Times New Roman" w:hAnsi="Times New Roman"/>
          <w:sz w:val="24"/>
          <w:szCs w:val="24"/>
        </w:rPr>
        <w:t xml:space="preserve"> set internal</w:t>
      </w:r>
      <w:r w:rsidR="00934522">
        <w:rPr>
          <w:rFonts w:ascii="Times New Roman" w:hAnsi="Times New Roman"/>
          <w:sz w:val="24"/>
          <w:szCs w:val="24"/>
        </w:rPr>
        <w:t xml:space="preserve"> </w:t>
      </w:r>
      <w:r w:rsidR="00A6425E">
        <w:rPr>
          <w:rFonts w:ascii="Times New Roman" w:hAnsi="Times New Roman"/>
          <w:sz w:val="24"/>
          <w:szCs w:val="24"/>
        </w:rPr>
        <w:t>arrangements to solve this situation</w:t>
      </w:r>
      <w:r w:rsidRPr="00CC4AEB">
        <w:rPr>
          <w:rFonts w:ascii="Times New Roman" w:hAnsi="Times New Roman"/>
          <w:sz w:val="24"/>
          <w:szCs w:val="24"/>
        </w:rPr>
        <w:t>.</w:t>
      </w:r>
      <w:r w:rsidR="00473C1F" w:rsidRPr="00CC4AEB">
        <w:rPr>
          <w:rFonts w:ascii="Times New Roman" w:hAnsi="Times New Roman"/>
          <w:sz w:val="24"/>
          <w:szCs w:val="24"/>
        </w:rPr>
        <w:t xml:space="preserve"> The Commission </w:t>
      </w:r>
      <w:r w:rsidR="008B2C99">
        <w:rPr>
          <w:rFonts w:ascii="Times New Roman" w:hAnsi="Times New Roman"/>
          <w:sz w:val="24"/>
          <w:szCs w:val="24"/>
        </w:rPr>
        <w:t xml:space="preserve">is not </w:t>
      </w:r>
      <w:r w:rsidR="004B5211">
        <w:rPr>
          <w:rFonts w:ascii="Times New Roman" w:hAnsi="Times New Roman"/>
          <w:sz w:val="24"/>
          <w:szCs w:val="24"/>
        </w:rPr>
        <w:t xml:space="preserve">part </w:t>
      </w:r>
      <w:r w:rsidR="00473C1F" w:rsidRPr="00CC4AEB">
        <w:rPr>
          <w:rFonts w:ascii="Times New Roman" w:hAnsi="Times New Roman"/>
          <w:sz w:val="24"/>
          <w:szCs w:val="24"/>
        </w:rPr>
        <w:t xml:space="preserve">of that agreement and the Guarantee Fund will </w:t>
      </w:r>
      <w:r w:rsidR="00473C1F" w:rsidRPr="00CC4AEB">
        <w:rPr>
          <w:rFonts w:ascii="Times New Roman" w:hAnsi="Times New Roman"/>
          <w:sz w:val="24"/>
          <w:szCs w:val="24"/>
          <w:u w:val="single"/>
        </w:rPr>
        <w:t>NOT</w:t>
      </w:r>
      <w:r w:rsidR="00473C1F" w:rsidRPr="00CC4AEB">
        <w:rPr>
          <w:rFonts w:ascii="Times New Roman" w:hAnsi="Times New Roman"/>
          <w:sz w:val="24"/>
          <w:szCs w:val="24"/>
        </w:rPr>
        <w:t xml:space="preserve"> intervene if a beneficiary does not respect th</w:t>
      </w:r>
      <w:r w:rsidR="004B5211">
        <w:rPr>
          <w:rFonts w:ascii="Times New Roman" w:hAnsi="Times New Roman"/>
          <w:sz w:val="24"/>
          <w:szCs w:val="24"/>
        </w:rPr>
        <w:t>at</w:t>
      </w:r>
      <w:r w:rsidR="00473C1F" w:rsidRPr="00CC4AEB">
        <w:rPr>
          <w:rFonts w:ascii="Times New Roman" w:hAnsi="Times New Roman"/>
          <w:sz w:val="24"/>
          <w:szCs w:val="24"/>
        </w:rPr>
        <w:t xml:space="preserve"> internal agreement (</w:t>
      </w:r>
      <w:r w:rsidR="00473C1F" w:rsidRPr="00CC4AEB">
        <w:rPr>
          <w:rFonts w:ascii="Times New Roman" w:hAnsi="Times New Roman"/>
          <w:sz w:val="24"/>
          <w:szCs w:val="24"/>
          <w:u w:val="single"/>
        </w:rPr>
        <w:t>same as today</w:t>
      </w:r>
      <w:r w:rsidR="008B2C99">
        <w:rPr>
          <w:rFonts w:ascii="Times New Roman" w:hAnsi="Times New Roman"/>
          <w:sz w:val="24"/>
          <w:szCs w:val="24"/>
          <w:u w:val="single"/>
        </w:rPr>
        <w:t xml:space="preserve"> in the general MGA</w:t>
      </w:r>
      <w:r w:rsidR="00473C1F" w:rsidRPr="00CC4AEB">
        <w:rPr>
          <w:rFonts w:ascii="Times New Roman" w:hAnsi="Times New Roman"/>
          <w:sz w:val="24"/>
          <w:szCs w:val="24"/>
        </w:rPr>
        <w:t>).</w:t>
      </w:r>
    </w:p>
    <w:p w:rsidR="00DF47C9" w:rsidRPr="001D1CA8" w:rsidRDefault="00DF47C9" w:rsidP="004B5211">
      <w:pPr>
        <w:pStyle w:val="ListParagraph"/>
        <w:numPr>
          <w:ilvl w:val="0"/>
          <w:numId w:val="3"/>
        </w:numPr>
        <w:spacing w:before="240"/>
        <w:ind w:left="1984" w:hanging="357"/>
        <w:contextualSpacing w:val="0"/>
        <w:jc w:val="both"/>
        <w:rPr>
          <w:rFonts w:ascii="Times New Roman" w:hAnsi="Times New Roman"/>
          <w:b/>
          <w:sz w:val="24"/>
          <w:szCs w:val="24"/>
        </w:rPr>
      </w:pPr>
      <w:r w:rsidRPr="00CC4AEB">
        <w:rPr>
          <w:rFonts w:ascii="Times New Roman" w:hAnsi="Times New Roman"/>
          <w:sz w:val="24"/>
          <w:szCs w:val="24"/>
        </w:rPr>
        <w:t>If the payment of the balance is negative</w:t>
      </w:r>
      <w:r w:rsidR="00667217" w:rsidRPr="00CC4AEB">
        <w:rPr>
          <w:rFonts w:ascii="Times New Roman" w:hAnsi="Times New Roman"/>
          <w:sz w:val="24"/>
          <w:szCs w:val="24"/>
        </w:rPr>
        <w:t xml:space="preserve"> (e.g. amount approved &lt; pre-financing + interim payments</w:t>
      </w:r>
      <w:r w:rsidR="00D24471" w:rsidRPr="00CC4AEB">
        <w:rPr>
          <w:rFonts w:ascii="Times New Roman" w:hAnsi="Times New Roman"/>
          <w:sz w:val="24"/>
          <w:szCs w:val="24"/>
        </w:rPr>
        <w:t>)</w:t>
      </w:r>
      <w:r w:rsidR="00E046C8" w:rsidRPr="00CC4AEB">
        <w:rPr>
          <w:rFonts w:ascii="Times New Roman" w:hAnsi="Times New Roman"/>
          <w:sz w:val="24"/>
          <w:szCs w:val="24"/>
        </w:rPr>
        <w:t xml:space="preserve"> the Commission will recover that difference from the beneficiaries of the rejected WP in proportion to their liability in that WP</w:t>
      </w:r>
      <w:r w:rsidR="008B2C99">
        <w:rPr>
          <w:rFonts w:ascii="Times New Roman" w:hAnsi="Times New Roman"/>
          <w:sz w:val="24"/>
          <w:szCs w:val="24"/>
        </w:rPr>
        <w:t xml:space="preserve"> as indicated in Annex 2</w:t>
      </w:r>
      <w:r w:rsidR="00E046C8" w:rsidRPr="00CC4AEB">
        <w:rPr>
          <w:rFonts w:ascii="Times New Roman" w:hAnsi="Times New Roman"/>
          <w:sz w:val="24"/>
          <w:szCs w:val="24"/>
        </w:rPr>
        <w:t xml:space="preserve">. </w:t>
      </w:r>
      <w:r w:rsidR="00A83E22" w:rsidRPr="00CC4AEB">
        <w:rPr>
          <w:rFonts w:ascii="Times New Roman" w:hAnsi="Times New Roman"/>
          <w:sz w:val="24"/>
          <w:szCs w:val="24"/>
        </w:rPr>
        <w:t xml:space="preserve">For that the </w:t>
      </w:r>
      <w:r w:rsidR="0017218E" w:rsidRPr="00CC4AEB">
        <w:rPr>
          <w:rFonts w:ascii="Times New Roman" w:hAnsi="Times New Roman"/>
          <w:sz w:val="24"/>
          <w:szCs w:val="24"/>
        </w:rPr>
        <w:t>coordinator</w:t>
      </w:r>
      <w:r w:rsidR="00A83E22" w:rsidRPr="00CC4AEB">
        <w:rPr>
          <w:rFonts w:ascii="Times New Roman" w:hAnsi="Times New Roman"/>
          <w:sz w:val="24"/>
          <w:szCs w:val="24"/>
        </w:rPr>
        <w:t xml:space="preserve"> must submit the report of distribution of payments. </w:t>
      </w:r>
    </w:p>
    <w:p w:rsidR="001D1CA8" w:rsidRDefault="001D1CA8" w:rsidP="001D1CA8">
      <w:pPr>
        <w:pStyle w:val="ListParagraph"/>
        <w:ind w:left="1985"/>
        <w:contextualSpacing w:val="0"/>
        <w:jc w:val="both"/>
        <w:rPr>
          <w:rFonts w:ascii="Times New Roman" w:hAnsi="Times New Roman"/>
          <w:b/>
          <w:sz w:val="24"/>
          <w:szCs w:val="24"/>
        </w:rPr>
      </w:pPr>
    </w:p>
    <w:p w:rsidR="001D1CA8" w:rsidRPr="00CC4AEB" w:rsidRDefault="001D1CA8" w:rsidP="001D1CA8">
      <w:pPr>
        <w:pStyle w:val="ListParagraph"/>
        <w:ind w:left="1985"/>
        <w:contextualSpacing w:val="0"/>
        <w:jc w:val="both"/>
        <w:rPr>
          <w:rFonts w:ascii="Times New Roman" w:hAnsi="Times New Roman"/>
          <w:b/>
          <w:sz w:val="24"/>
          <w:szCs w:val="24"/>
        </w:rPr>
      </w:pPr>
    </w:p>
    <w:p w:rsidR="00E046C8" w:rsidRPr="00F45BB6" w:rsidRDefault="00E046C8" w:rsidP="00FE3E63">
      <w:pPr>
        <w:shd w:val="clear" w:color="auto" w:fill="F2DBDB" w:themeFill="accent2" w:themeFillTint="33"/>
        <w:jc w:val="both"/>
        <w:rPr>
          <w:rFonts w:ascii="Times New Roman" w:hAnsi="Times New Roman"/>
          <w:b/>
          <w:sz w:val="28"/>
          <w:szCs w:val="24"/>
        </w:rPr>
      </w:pPr>
      <w:r w:rsidRPr="00F45BB6">
        <w:rPr>
          <w:rFonts w:ascii="Times New Roman" w:hAnsi="Times New Roman"/>
          <w:b/>
          <w:sz w:val="28"/>
          <w:szCs w:val="24"/>
        </w:rPr>
        <w:t>After the payment of the balance</w:t>
      </w:r>
    </w:p>
    <w:p w:rsidR="00F45BB6" w:rsidRPr="00F45BB6" w:rsidRDefault="00F45BB6" w:rsidP="00FE3E63">
      <w:pPr>
        <w:shd w:val="clear" w:color="auto" w:fill="F2DBDB" w:themeFill="accent2" w:themeFillTint="33"/>
        <w:jc w:val="both"/>
        <w:rPr>
          <w:rFonts w:ascii="Times New Roman" w:hAnsi="Times New Roman"/>
          <w:b/>
          <w:sz w:val="18"/>
          <w:szCs w:val="18"/>
        </w:rPr>
      </w:pPr>
    </w:p>
    <w:p w:rsidR="00E046C8" w:rsidRPr="00CC4AEB" w:rsidRDefault="00E046C8" w:rsidP="00667217">
      <w:pPr>
        <w:pStyle w:val="ListParagraph"/>
        <w:numPr>
          <w:ilvl w:val="0"/>
          <w:numId w:val="1"/>
        </w:numPr>
        <w:spacing w:before="240"/>
        <w:ind w:left="714" w:hanging="357"/>
        <w:contextualSpacing w:val="0"/>
        <w:jc w:val="both"/>
        <w:rPr>
          <w:rFonts w:ascii="Times New Roman" w:hAnsi="Times New Roman"/>
          <w:b/>
          <w:sz w:val="24"/>
          <w:szCs w:val="24"/>
        </w:rPr>
      </w:pPr>
      <w:r w:rsidRPr="00CC4AEB">
        <w:rPr>
          <w:rFonts w:ascii="Times New Roman" w:hAnsi="Times New Roman"/>
          <w:b/>
          <w:sz w:val="24"/>
          <w:szCs w:val="24"/>
        </w:rPr>
        <w:t>I</w:t>
      </w:r>
      <w:r w:rsidR="00272E9F">
        <w:rPr>
          <w:rFonts w:ascii="Times New Roman" w:hAnsi="Times New Roman"/>
          <w:b/>
          <w:sz w:val="24"/>
          <w:szCs w:val="24"/>
        </w:rPr>
        <w:t>f</w:t>
      </w:r>
      <w:r w:rsidRPr="00CC4AEB">
        <w:rPr>
          <w:rFonts w:ascii="Times New Roman" w:hAnsi="Times New Roman"/>
          <w:b/>
          <w:sz w:val="24"/>
          <w:szCs w:val="24"/>
        </w:rPr>
        <w:t xml:space="preserve"> a technical audit reject</w:t>
      </w:r>
      <w:r w:rsidR="00A83E22" w:rsidRPr="00CC4AEB">
        <w:rPr>
          <w:rFonts w:ascii="Times New Roman" w:hAnsi="Times New Roman"/>
          <w:b/>
          <w:sz w:val="24"/>
          <w:szCs w:val="24"/>
        </w:rPr>
        <w:t>s</w:t>
      </w:r>
      <w:r w:rsidRPr="00CC4AEB">
        <w:rPr>
          <w:rFonts w:ascii="Times New Roman" w:hAnsi="Times New Roman"/>
          <w:b/>
          <w:sz w:val="24"/>
          <w:szCs w:val="24"/>
        </w:rPr>
        <w:t xml:space="preserve"> a WP: </w:t>
      </w:r>
      <w:r w:rsidRPr="00CC4AEB">
        <w:rPr>
          <w:rFonts w:ascii="Times New Roman" w:hAnsi="Times New Roman"/>
          <w:sz w:val="24"/>
          <w:szCs w:val="24"/>
        </w:rPr>
        <w:t>the part of the lump sum corresponding to that WP will be recovered from the beneficiaries in charge of that WP in accordanc</w:t>
      </w:r>
      <w:r w:rsidR="00196589" w:rsidRPr="00CC4AEB">
        <w:rPr>
          <w:rFonts w:ascii="Times New Roman" w:hAnsi="Times New Roman"/>
          <w:sz w:val="24"/>
          <w:szCs w:val="24"/>
        </w:rPr>
        <w:t xml:space="preserve">e with the </w:t>
      </w:r>
      <w:r w:rsidR="00272E9F">
        <w:rPr>
          <w:rFonts w:ascii="Times New Roman" w:hAnsi="Times New Roman"/>
          <w:sz w:val="24"/>
          <w:szCs w:val="24"/>
        </w:rPr>
        <w:t>breakdown of the lump sum</w:t>
      </w:r>
      <w:r w:rsidR="00196589" w:rsidRPr="00CC4AEB">
        <w:rPr>
          <w:rFonts w:ascii="Times New Roman" w:hAnsi="Times New Roman"/>
          <w:sz w:val="24"/>
          <w:szCs w:val="24"/>
        </w:rPr>
        <w:t xml:space="preserve"> (Annex 2)</w:t>
      </w:r>
      <w:r w:rsidR="008364AB" w:rsidRPr="00CC4AEB">
        <w:rPr>
          <w:rFonts w:ascii="Times New Roman" w:hAnsi="Times New Roman"/>
          <w:sz w:val="24"/>
          <w:szCs w:val="24"/>
        </w:rPr>
        <w:t>.</w:t>
      </w:r>
    </w:p>
    <w:p w:rsidR="00E046C8" w:rsidRPr="00CC4AEB" w:rsidRDefault="00E046C8" w:rsidP="00667217">
      <w:pPr>
        <w:pStyle w:val="ListParagraph"/>
        <w:numPr>
          <w:ilvl w:val="1"/>
          <w:numId w:val="1"/>
        </w:numPr>
        <w:spacing w:before="240"/>
        <w:contextualSpacing w:val="0"/>
        <w:jc w:val="both"/>
        <w:rPr>
          <w:rFonts w:ascii="Times New Roman" w:hAnsi="Times New Roman"/>
          <w:b/>
          <w:sz w:val="24"/>
          <w:szCs w:val="24"/>
        </w:rPr>
      </w:pPr>
      <w:r w:rsidRPr="00CC4AEB">
        <w:rPr>
          <w:rFonts w:ascii="Times New Roman" w:hAnsi="Times New Roman"/>
          <w:b/>
          <w:sz w:val="24"/>
          <w:szCs w:val="24"/>
        </w:rPr>
        <w:t xml:space="preserve">If only the work of one of the beneficiaries is rejected: </w:t>
      </w:r>
      <w:r w:rsidRPr="00CC4AEB">
        <w:rPr>
          <w:rFonts w:ascii="Times New Roman" w:hAnsi="Times New Roman"/>
          <w:sz w:val="24"/>
          <w:szCs w:val="24"/>
        </w:rPr>
        <w:t xml:space="preserve">the recovery will be only for that beneficiary </w:t>
      </w:r>
      <w:r w:rsidR="004B5211">
        <w:rPr>
          <w:rFonts w:ascii="Times New Roman" w:hAnsi="Times New Roman"/>
          <w:sz w:val="24"/>
          <w:szCs w:val="24"/>
        </w:rPr>
        <w:t xml:space="preserve">and </w:t>
      </w:r>
      <w:r w:rsidRPr="00CC4AEB">
        <w:rPr>
          <w:rFonts w:ascii="Times New Roman" w:hAnsi="Times New Roman"/>
          <w:sz w:val="24"/>
          <w:szCs w:val="24"/>
        </w:rPr>
        <w:t xml:space="preserve">up to the amount set up </w:t>
      </w:r>
      <w:r w:rsidR="008364AB" w:rsidRPr="00CC4AEB">
        <w:rPr>
          <w:rFonts w:ascii="Times New Roman" w:hAnsi="Times New Roman"/>
          <w:sz w:val="24"/>
          <w:szCs w:val="24"/>
        </w:rPr>
        <w:t xml:space="preserve">for it </w:t>
      </w:r>
      <w:r w:rsidR="00272E9F">
        <w:rPr>
          <w:rFonts w:ascii="Times New Roman" w:hAnsi="Times New Roman"/>
          <w:sz w:val="24"/>
          <w:szCs w:val="24"/>
        </w:rPr>
        <w:t>in the lump sum breakdown for that WP (Annex 2)</w:t>
      </w:r>
      <w:r w:rsidRPr="00CC4AEB">
        <w:rPr>
          <w:rFonts w:ascii="Times New Roman" w:hAnsi="Times New Roman"/>
          <w:sz w:val="24"/>
          <w:szCs w:val="24"/>
        </w:rPr>
        <w:t>.</w:t>
      </w:r>
    </w:p>
    <w:p w:rsidR="00E046C8" w:rsidRPr="00CC4AEB" w:rsidRDefault="00E046C8" w:rsidP="00667217">
      <w:pPr>
        <w:pStyle w:val="ListParagraph"/>
        <w:numPr>
          <w:ilvl w:val="1"/>
          <w:numId w:val="1"/>
        </w:numPr>
        <w:spacing w:before="240"/>
        <w:contextualSpacing w:val="0"/>
        <w:jc w:val="both"/>
        <w:rPr>
          <w:rFonts w:ascii="Times New Roman" w:hAnsi="Times New Roman"/>
          <w:b/>
          <w:sz w:val="24"/>
          <w:szCs w:val="24"/>
        </w:rPr>
      </w:pPr>
      <w:r w:rsidRPr="00CC4AEB">
        <w:rPr>
          <w:rFonts w:ascii="Times New Roman" w:hAnsi="Times New Roman"/>
          <w:b/>
          <w:sz w:val="24"/>
          <w:szCs w:val="24"/>
        </w:rPr>
        <w:t xml:space="preserve">If the rejection is partial but affecting all beneficiaries of that WP: </w:t>
      </w:r>
      <w:r w:rsidRPr="00CC4AEB">
        <w:rPr>
          <w:rFonts w:ascii="Times New Roman" w:hAnsi="Times New Roman"/>
          <w:sz w:val="24"/>
          <w:szCs w:val="24"/>
        </w:rPr>
        <w:t xml:space="preserve">the Commission will recover the amount rejected from the beneficiaries in </w:t>
      </w:r>
      <w:r w:rsidRPr="00CC4AEB">
        <w:rPr>
          <w:rFonts w:ascii="Times New Roman" w:hAnsi="Times New Roman"/>
          <w:sz w:val="24"/>
          <w:szCs w:val="24"/>
        </w:rPr>
        <w:lastRenderedPageBreak/>
        <w:t xml:space="preserve">proportion to their </w:t>
      </w:r>
      <w:r w:rsidR="00272E9F">
        <w:rPr>
          <w:rFonts w:ascii="Times New Roman" w:hAnsi="Times New Roman"/>
          <w:sz w:val="24"/>
          <w:szCs w:val="24"/>
        </w:rPr>
        <w:t>share in that WP according to the lump sum breakdown (Annex 2).</w:t>
      </w:r>
    </w:p>
    <w:p w:rsidR="000D0789" w:rsidRDefault="000D0789" w:rsidP="00667217">
      <w:pPr>
        <w:spacing w:before="240"/>
        <w:jc w:val="both"/>
        <w:rPr>
          <w:rFonts w:ascii="Times New Roman" w:hAnsi="Times New Roman"/>
          <w:sz w:val="24"/>
          <w:szCs w:val="24"/>
        </w:rPr>
      </w:pPr>
    </w:p>
    <w:p w:rsidR="007E2727" w:rsidRPr="00CC4AEB" w:rsidRDefault="001E152B" w:rsidP="00667217">
      <w:pPr>
        <w:spacing w:before="240"/>
        <w:jc w:val="both"/>
        <w:rPr>
          <w:rFonts w:ascii="Times New Roman" w:hAnsi="Times New Roman"/>
          <w:sz w:val="24"/>
          <w:szCs w:val="24"/>
        </w:rPr>
      </w:pPr>
      <w:r w:rsidRPr="00CC4AEB">
        <w:rPr>
          <w:rFonts w:ascii="Times New Roman" w:hAnsi="Times New Roman"/>
          <w:sz w:val="24"/>
          <w:szCs w:val="24"/>
        </w:rPr>
        <w:t xml:space="preserve">In summary, </w:t>
      </w:r>
      <w:r w:rsidRPr="00CC4AEB">
        <w:rPr>
          <w:rFonts w:ascii="Times New Roman" w:hAnsi="Times New Roman"/>
          <w:b/>
          <w:sz w:val="24"/>
          <w:szCs w:val="24"/>
        </w:rPr>
        <w:t>the financial l</w:t>
      </w:r>
      <w:r w:rsidR="007E2727" w:rsidRPr="00CC4AEB">
        <w:rPr>
          <w:rFonts w:ascii="Times New Roman" w:hAnsi="Times New Roman"/>
          <w:b/>
          <w:sz w:val="24"/>
          <w:szCs w:val="24"/>
        </w:rPr>
        <w:t xml:space="preserve">iability </w:t>
      </w:r>
      <w:r w:rsidRPr="00CC4AEB">
        <w:rPr>
          <w:rFonts w:ascii="Times New Roman" w:hAnsi="Times New Roman"/>
          <w:b/>
          <w:sz w:val="24"/>
          <w:szCs w:val="24"/>
        </w:rPr>
        <w:t>of each beneficiary</w:t>
      </w:r>
      <w:r w:rsidRPr="00CC4AEB">
        <w:rPr>
          <w:rFonts w:ascii="Times New Roman" w:hAnsi="Times New Roman"/>
          <w:sz w:val="24"/>
          <w:szCs w:val="24"/>
        </w:rPr>
        <w:t xml:space="preserve"> </w:t>
      </w:r>
      <w:r w:rsidR="00751442" w:rsidRPr="00CC4AEB">
        <w:rPr>
          <w:rFonts w:ascii="Times New Roman" w:hAnsi="Times New Roman"/>
          <w:sz w:val="24"/>
          <w:szCs w:val="24"/>
        </w:rPr>
        <w:t xml:space="preserve">in case of recovery </w:t>
      </w:r>
      <w:r w:rsidRPr="00CC4AEB">
        <w:rPr>
          <w:rFonts w:ascii="Times New Roman" w:hAnsi="Times New Roman"/>
          <w:sz w:val="24"/>
          <w:szCs w:val="24"/>
        </w:rPr>
        <w:t>is as follows</w:t>
      </w:r>
      <w:r w:rsidR="007E2727" w:rsidRPr="00CC4AEB">
        <w:rPr>
          <w:rFonts w:ascii="Times New Roman" w:hAnsi="Times New Roman"/>
          <w:sz w:val="24"/>
          <w:szCs w:val="24"/>
        </w:rPr>
        <w:t xml:space="preserve">: </w:t>
      </w:r>
    </w:p>
    <w:p w:rsidR="007E2727" w:rsidRPr="00CC4AEB" w:rsidRDefault="007E2727" w:rsidP="00667217">
      <w:pPr>
        <w:pStyle w:val="ListParagraph"/>
        <w:numPr>
          <w:ilvl w:val="0"/>
          <w:numId w:val="5"/>
        </w:numPr>
        <w:spacing w:before="240"/>
        <w:jc w:val="both"/>
        <w:rPr>
          <w:rFonts w:ascii="Times New Roman" w:hAnsi="Times New Roman"/>
          <w:sz w:val="24"/>
          <w:szCs w:val="24"/>
        </w:rPr>
      </w:pPr>
      <w:r w:rsidRPr="00CC4AEB">
        <w:rPr>
          <w:rFonts w:ascii="Times New Roman" w:hAnsi="Times New Roman"/>
          <w:sz w:val="24"/>
          <w:szCs w:val="24"/>
        </w:rPr>
        <w:t>before the payment of the balance each beneficiary is liable up to the amount it received</w:t>
      </w:r>
      <w:r w:rsidR="00695AC6" w:rsidRPr="00CC4AEB">
        <w:rPr>
          <w:rFonts w:ascii="Times New Roman" w:hAnsi="Times New Roman"/>
          <w:sz w:val="24"/>
          <w:szCs w:val="24"/>
        </w:rPr>
        <w:t xml:space="preserve"> (</w:t>
      </w:r>
      <w:r w:rsidR="00695AC6" w:rsidRPr="00272E9F">
        <w:rPr>
          <w:rFonts w:ascii="Times New Roman" w:hAnsi="Times New Roman"/>
          <w:sz w:val="24"/>
          <w:szCs w:val="24"/>
        </w:rPr>
        <w:t>similar as in the general MGA</w:t>
      </w:r>
      <w:r w:rsidR="00695AC6" w:rsidRPr="00CC4AEB">
        <w:rPr>
          <w:rFonts w:ascii="Times New Roman" w:hAnsi="Times New Roman"/>
          <w:sz w:val="24"/>
          <w:szCs w:val="24"/>
        </w:rPr>
        <w:t xml:space="preserve">); </w:t>
      </w:r>
    </w:p>
    <w:p w:rsidR="007E2727" w:rsidRPr="00CC4AEB" w:rsidRDefault="007E2727" w:rsidP="00667217">
      <w:pPr>
        <w:pStyle w:val="ListParagraph"/>
        <w:spacing w:before="240"/>
        <w:jc w:val="both"/>
        <w:rPr>
          <w:rFonts w:ascii="Times New Roman" w:hAnsi="Times New Roman"/>
          <w:sz w:val="24"/>
          <w:szCs w:val="24"/>
        </w:rPr>
      </w:pPr>
    </w:p>
    <w:p w:rsidR="007E2727" w:rsidRDefault="007E2727" w:rsidP="00667217">
      <w:pPr>
        <w:pStyle w:val="ListParagraph"/>
        <w:numPr>
          <w:ilvl w:val="0"/>
          <w:numId w:val="5"/>
        </w:numPr>
        <w:spacing w:before="240"/>
        <w:jc w:val="both"/>
        <w:rPr>
          <w:rFonts w:ascii="Times New Roman" w:hAnsi="Times New Roman"/>
          <w:sz w:val="24"/>
          <w:szCs w:val="24"/>
        </w:rPr>
      </w:pPr>
      <w:r w:rsidRPr="00CC4AEB">
        <w:rPr>
          <w:rFonts w:ascii="Times New Roman" w:hAnsi="Times New Roman"/>
          <w:sz w:val="24"/>
          <w:szCs w:val="24"/>
        </w:rPr>
        <w:t xml:space="preserve">after the payment of the balance each beneficiary is liable </w:t>
      </w:r>
      <w:r w:rsidR="00272E9F">
        <w:rPr>
          <w:rFonts w:ascii="Times New Roman" w:hAnsi="Times New Roman"/>
          <w:sz w:val="24"/>
          <w:szCs w:val="24"/>
        </w:rPr>
        <w:t>up to the share of the lump sum indicated for it</w:t>
      </w:r>
      <w:r w:rsidRPr="00CC4AEB">
        <w:rPr>
          <w:rFonts w:ascii="Times New Roman" w:hAnsi="Times New Roman"/>
          <w:sz w:val="24"/>
          <w:szCs w:val="24"/>
        </w:rPr>
        <w:t xml:space="preserve"> </w:t>
      </w:r>
      <w:r w:rsidR="00272E9F">
        <w:rPr>
          <w:rFonts w:ascii="Times New Roman" w:hAnsi="Times New Roman"/>
          <w:sz w:val="24"/>
          <w:szCs w:val="24"/>
        </w:rPr>
        <w:t>in Annex 2</w:t>
      </w:r>
      <w:r w:rsidRPr="00CC4AEB">
        <w:rPr>
          <w:rFonts w:ascii="Times New Roman" w:hAnsi="Times New Roman"/>
          <w:sz w:val="24"/>
          <w:szCs w:val="24"/>
        </w:rPr>
        <w:t xml:space="preserve"> (</w:t>
      </w:r>
      <w:r w:rsidRPr="00272E9F">
        <w:rPr>
          <w:rFonts w:ascii="Times New Roman" w:hAnsi="Times New Roman"/>
          <w:sz w:val="24"/>
          <w:szCs w:val="24"/>
          <w:u w:val="single"/>
        </w:rPr>
        <w:t>regardless of the amount actually received</w:t>
      </w:r>
      <w:r w:rsidRPr="00CC4AEB">
        <w:rPr>
          <w:rFonts w:ascii="Times New Roman" w:hAnsi="Times New Roman"/>
          <w:sz w:val="24"/>
          <w:szCs w:val="24"/>
        </w:rPr>
        <w:t xml:space="preserve">) – this is </w:t>
      </w:r>
      <w:r w:rsidR="00695AC6" w:rsidRPr="00CC4AEB">
        <w:rPr>
          <w:rFonts w:ascii="Times New Roman" w:hAnsi="Times New Roman"/>
          <w:sz w:val="24"/>
          <w:szCs w:val="24"/>
        </w:rPr>
        <w:t xml:space="preserve">also </w:t>
      </w:r>
      <w:r w:rsidRPr="00CC4AEB">
        <w:rPr>
          <w:rFonts w:ascii="Times New Roman" w:hAnsi="Times New Roman"/>
          <w:sz w:val="24"/>
          <w:szCs w:val="24"/>
        </w:rPr>
        <w:t xml:space="preserve">similar </w:t>
      </w:r>
      <w:r w:rsidR="00695AC6" w:rsidRPr="00CC4AEB">
        <w:rPr>
          <w:rFonts w:ascii="Times New Roman" w:hAnsi="Times New Roman"/>
          <w:sz w:val="24"/>
          <w:szCs w:val="24"/>
        </w:rPr>
        <w:t xml:space="preserve">as </w:t>
      </w:r>
      <w:r w:rsidRPr="00CC4AEB">
        <w:rPr>
          <w:rFonts w:ascii="Times New Roman" w:hAnsi="Times New Roman"/>
          <w:sz w:val="24"/>
          <w:szCs w:val="24"/>
        </w:rPr>
        <w:t xml:space="preserve">in the </w:t>
      </w:r>
      <w:r w:rsidR="00695AC6" w:rsidRPr="00CC4AEB">
        <w:rPr>
          <w:rFonts w:ascii="Times New Roman" w:hAnsi="Times New Roman"/>
          <w:sz w:val="24"/>
          <w:szCs w:val="24"/>
        </w:rPr>
        <w:t>general MGA</w:t>
      </w:r>
      <w:r w:rsidRPr="00CC4AEB">
        <w:rPr>
          <w:rFonts w:ascii="Times New Roman" w:hAnsi="Times New Roman"/>
          <w:sz w:val="24"/>
          <w:szCs w:val="24"/>
        </w:rPr>
        <w:t>.</w:t>
      </w:r>
    </w:p>
    <w:p w:rsidR="005F41F8" w:rsidRDefault="005F41F8" w:rsidP="005F41F8">
      <w:pPr>
        <w:spacing w:before="240"/>
        <w:jc w:val="both"/>
        <w:rPr>
          <w:rFonts w:ascii="Times New Roman" w:hAnsi="Times New Roman"/>
          <w:sz w:val="24"/>
          <w:szCs w:val="24"/>
        </w:rPr>
      </w:pPr>
    </w:p>
    <w:p w:rsidR="00846152" w:rsidRDefault="00846152" w:rsidP="00846152">
      <w:pPr>
        <w:shd w:val="clear" w:color="auto" w:fill="F2DBDB" w:themeFill="accent2" w:themeFillTint="33"/>
        <w:jc w:val="both"/>
        <w:rPr>
          <w:rFonts w:ascii="Times New Roman" w:hAnsi="Times New Roman"/>
          <w:b/>
          <w:sz w:val="28"/>
          <w:szCs w:val="24"/>
        </w:rPr>
      </w:pPr>
      <w:r>
        <w:rPr>
          <w:rFonts w:ascii="Times New Roman" w:hAnsi="Times New Roman"/>
          <w:b/>
          <w:sz w:val="28"/>
          <w:szCs w:val="24"/>
        </w:rPr>
        <w:t>Controls</w:t>
      </w:r>
    </w:p>
    <w:p w:rsidR="00067E9E" w:rsidRPr="00067E9E" w:rsidRDefault="00067E9E" w:rsidP="00846152">
      <w:pPr>
        <w:shd w:val="clear" w:color="auto" w:fill="F2DBDB" w:themeFill="accent2" w:themeFillTint="33"/>
        <w:jc w:val="both"/>
        <w:rPr>
          <w:rFonts w:ascii="Times New Roman" w:hAnsi="Times New Roman"/>
          <w:b/>
          <w:sz w:val="18"/>
          <w:szCs w:val="18"/>
        </w:rPr>
      </w:pPr>
    </w:p>
    <w:p w:rsidR="00A6425E" w:rsidRDefault="00A6425E" w:rsidP="005F41F8">
      <w:pPr>
        <w:spacing w:before="240"/>
        <w:jc w:val="both"/>
        <w:rPr>
          <w:rFonts w:ascii="Times New Roman" w:hAnsi="Times New Roman"/>
          <w:sz w:val="24"/>
          <w:szCs w:val="24"/>
        </w:rPr>
      </w:pPr>
      <w:r>
        <w:rPr>
          <w:rFonts w:ascii="Times New Roman" w:hAnsi="Times New Roman"/>
          <w:sz w:val="24"/>
          <w:szCs w:val="24"/>
        </w:rPr>
        <w:t xml:space="preserve">There will be no </w:t>
      </w:r>
      <w:r w:rsidR="00AB0479">
        <w:rPr>
          <w:rFonts w:ascii="Times New Roman" w:hAnsi="Times New Roman"/>
          <w:sz w:val="24"/>
          <w:szCs w:val="24"/>
        </w:rPr>
        <w:t>f</w:t>
      </w:r>
      <w:r w:rsidR="00970665">
        <w:rPr>
          <w:rFonts w:ascii="Times New Roman" w:hAnsi="Times New Roman"/>
          <w:sz w:val="24"/>
          <w:szCs w:val="24"/>
        </w:rPr>
        <w:t xml:space="preserve">inancial audits </w:t>
      </w:r>
      <w:r>
        <w:rPr>
          <w:rFonts w:ascii="Times New Roman" w:hAnsi="Times New Roman"/>
          <w:sz w:val="24"/>
          <w:szCs w:val="24"/>
        </w:rPr>
        <w:t>to check</w:t>
      </w:r>
      <w:r w:rsidR="00970665">
        <w:rPr>
          <w:rFonts w:ascii="Times New Roman" w:hAnsi="Times New Roman"/>
          <w:sz w:val="24"/>
          <w:szCs w:val="24"/>
        </w:rPr>
        <w:t xml:space="preserve"> actual</w:t>
      </w:r>
      <w:r>
        <w:rPr>
          <w:rFonts w:ascii="Times New Roman" w:hAnsi="Times New Roman"/>
          <w:sz w:val="24"/>
          <w:szCs w:val="24"/>
        </w:rPr>
        <w:t xml:space="preserve"> </w:t>
      </w:r>
      <w:r w:rsidR="00970665">
        <w:rPr>
          <w:rFonts w:ascii="Times New Roman" w:hAnsi="Times New Roman"/>
          <w:sz w:val="24"/>
          <w:szCs w:val="24"/>
        </w:rPr>
        <w:t>cost</w:t>
      </w:r>
      <w:r>
        <w:rPr>
          <w:rFonts w:ascii="Times New Roman" w:hAnsi="Times New Roman"/>
          <w:sz w:val="24"/>
          <w:szCs w:val="24"/>
        </w:rPr>
        <w:t>s</w:t>
      </w:r>
      <w:r w:rsidR="00970665">
        <w:rPr>
          <w:rFonts w:ascii="Times New Roman" w:hAnsi="Times New Roman"/>
          <w:sz w:val="24"/>
          <w:szCs w:val="24"/>
        </w:rPr>
        <w:t xml:space="preserve">. </w:t>
      </w:r>
    </w:p>
    <w:p w:rsidR="00970665" w:rsidRDefault="00970665" w:rsidP="005F41F8">
      <w:pPr>
        <w:spacing w:before="240"/>
        <w:jc w:val="both"/>
        <w:rPr>
          <w:rFonts w:ascii="Times New Roman" w:hAnsi="Times New Roman"/>
          <w:sz w:val="24"/>
          <w:szCs w:val="24"/>
        </w:rPr>
      </w:pPr>
      <w:r>
        <w:rPr>
          <w:rFonts w:ascii="Times New Roman" w:hAnsi="Times New Roman"/>
          <w:sz w:val="24"/>
          <w:szCs w:val="24"/>
        </w:rPr>
        <w:t>By contrast, checks, reviews, audits and investigations would remain for:</w:t>
      </w:r>
    </w:p>
    <w:p w:rsidR="00970665" w:rsidRDefault="00175274" w:rsidP="00970665">
      <w:pPr>
        <w:pStyle w:val="ListParagraph"/>
        <w:numPr>
          <w:ilvl w:val="0"/>
          <w:numId w:val="1"/>
        </w:numPr>
        <w:spacing w:before="240"/>
        <w:jc w:val="both"/>
        <w:rPr>
          <w:rFonts w:ascii="Times New Roman" w:hAnsi="Times New Roman"/>
          <w:sz w:val="24"/>
          <w:szCs w:val="24"/>
        </w:rPr>
      </w:pPr>
      <w:r>
        <w:rPr>
          <w:rFonts w:ascii="Times New Roman" w:hAnsi="Times New Roman"/>
          <w:sz w:val="24"/>
          <w:szCs w:val="24"/>
        </w:rPr>
        <w:t>P</w:t>
      </w:r>
      <w:r w:rsidR="00970665">
        <w:rPr>
          <w:rFonts w:ascii="Times New Roman" w:hAnsi="Times New Roman"/>
          <w:sz w:val="24"/>
          <w:szCs w:val="24"/>
        </w:rPr>
        <w:t>roper implementation of the action</w:t>
      </w:r>
      <w:r w:rsidR="008E1BDE">
        <w:rPr>
          <w:rFonts w:ascii="Times New Roman" w:hAnsi="Times New Roman"/>
          <w:sz w:val="24"/>
          <w:szCs w:val="24"/>
        </w:rPr>
        <w:t xml:space="preserve"> (technical audits)</w:t>
      </w:r>
      <w:r w:rsidR="00970665">
        <w:rPr>
          <w:rFonts w:ascii="Times New Roman" w:hAnsi="Times New Roman"/>
          <w:sz w:val="24"/>
          <w:szCs w:val="24"/>
        </w:rPr>
        <w:t>; i.e. that the work has been done as reported and as described in Annex 1.</w:t>
      </w:r>
    </w:p>
    <w:p w:rsidR="00970665" w:rsidRDefault="00970665" w:rsidP="00970665">
      <w:pPr>
        <w:pStyle w:val="ListParagraph"/>
        <w:spacing w:before="240"/>
        <w:jc w:val="both"/>
        <w:rPr>
          <w:rFonts w:ascii="Times New Roman" w:hAnsi="Times New Roman"/>
          <w:sz w:val="24"/>
          <w:szCs w:val="24"/>
        </w:rPr>
      </w:pPr>
    </w:p>
    <w:p w:rsidR="00970665" w:rsidRDefault="00970665" w:rsidP="00970665">
      <w:pPr>
        <w:pStyle w:val="ListParagraph"/>
        <w:numPr>
          <w:ilvl w:val="0"/>
          <w:numId w:val="1"/>
        </w:numPr>
        <w:spacing w:before="240"/>
        <w:jc w:val="both"/>
        <w:rPr>
          <w:rFonts w:ascii="Times New Roman" w:hAnsi="Times New Roman"/>
          <w:sz w:val="24"/>
          <w:szCs w:val="24"/>
        </w:rPr>
      </w:pPr>
      <w:r>
        <w:rPr>
          <w:rFonts w:ascii="Times New Roman" w:hAnsi="Times New Roman"/>
          <w:sz w:val="24"/>
          <w:szCs w:val="24"/>
        </w:rPr>
        <w:t>All other grant agreement obligations as, for example:</w:t>
      </w:r>
    </w:p>
    <w:p w:rsidR="00970665" w:rsidRDefault="00970665" w:rsidP="00970665">
      <w:pPr>
        <w:pStyle w:val="ListParagraph"/>
        <w:spacing w:before="240"/>
        <w:jc w:val="both"/>
        <w:rPr>
          <w:rFonts w:ascii="Times New Roman" w:hAnsi="Times New Roman"/>
          <w:sz w:val="24"/>
          <w:szCs w:val="24"/>
        </w:rPr>
      </w:pPr>
    </w:p>
    <w:p w:rsidR="00970665" w:rsidRDefault="00970665" w:rsidP="00970665">
      <w:pPr>
        <w:pStyle w:val="ListParagraph"/>
        <w:numPr>
          <w:ilvl w:val="1"/>
          <w:numId w:val="1"/>
        </w:numPr>
        <w:spacing w:before="240"/>
        <w:jc w:val="both"/>
        <w:rPr>
          <w:rFonts w:ascii="Times New Roman" w:hAnsi="Times New Roman"/>
          <w:sz w:val="24"/>
          <w:szCs w:val="24"/>
        </w:rPr>
      </w:pPr>
      <w:r>
        <w:rPr>
          <w:rFonts w:ascii="Times New Roman" w:hAnsi="Times New Roman"/>
          <w:sz w:val="24"/>
          <w:szCs w:val="24"/>
        </w:rPr>
        <w:t>IPR obligations</w:t>
      </w:r>
    </w:p>
    <w:p w:rsidR="00970665" w:rsidRDefault="00970665" w:rsidP="00970665">
      <w:pPr>
        <w:pStyle w:val="ListParagraph"/>
        <w:spacing w:before="240"/>
        <w:ind w:left="1440"/>
        <w:jc w:val="both"/>
        <w:rPr>
          <w:rFonts w:ascii="Times New Roman" w:hAnsi="Times New Roman"/>
          <w:sz w:val="24"/>
          <w:szCs w:val="24"/>
        </w:rPr>
      </w:pPr>
    </w:p>
    <w:p w:rsidR="00970665" w:rsidRDefault="00970665" w:rsidP="00970665">
      <w:pPr>
        <w:pStyle w:val="ListParagraph"/>
        <w:numPr>
          <w:ilvl w:val="1"/>
          <w:numId w:val="1"/>
        </w:numPr>
        <w:spacing w:before="240"/>
        <w:jc w:val="both"/>
        <w:rPr>
          <w:rFonts w:ascii="Times New Roman" w:hAnsi="Times New Roman"/>
          <w:sz w:val="24"/>
          <w:szCs w:val="24"/>
        </w:rPr>
      </w:pPr>
      <w:r>
        <w:rPr>
          <w:rFonts w:ascii="Times New Roman" w:hAnsi="Times New Roman"/>
          <w:sz w:val="24"/>
          <w:szCs w:val="24"/>
        </w:rPr>
        <w:t xml:space="preserve">Obligations related to third parties, e.g. provision of financial support to third parties in accordance with </w:t>
      </w:r>
      <w:r w:rsidR="00A74BEA">
        <w:rPr>
          <w:rFonts w:ascii="Times New Roman" w:hAnsi="Times New Roman"/>
          <w:sz w:val="24"/>
          <w:szCs w:val="24"/>
        </w:rPr>
        <w:t>the MGA conditions. Some of these verifications may require access to financial documents.</w:t>
      </w:r>
    </w:p>
    <w:p w:rsidR="00970665" w:rsidRDefault="00970665" w:rsidP="00970665">
      <w:pPr>
        <w:pStyle w:val="ListParagraph"/>
        <w:spacing w:before="240"/>
        <w:ind w:left="1440"/>
        <w:jc w:val="both"/>
        <w:rPr>
          <w:rFonts w:ascii="Times New Roman" w:hAnsi="Times New Roman"/>
          <w:sz w:val="24"/>
          <w:szCs w:val="24"/>
        </w:rPr>
      </w:pPr>
    </w:p>
    <w:p w:rsidR="00970665" w:rsidRDefault="00970665" w:rsidP="00970665">
      <w:pPr>
        <w:pStyle w:val="ListParagraph"/>
        <w:numPr>
          <w:ilvl w:val="1"/>
          <w:numId w:val="1"/>
        </w:numPr>
        <w:spacing w:before="240"/>
        <w:jc w:val="both"/>
        <w:rPr>
          <w:rFonts w:ascii="Times New Roman" w:hAnsi="Times New Roman"/>
          <w:sz w:val="24"/>
          <w:szCs w:val="24"/>
        </w:rPr>
      </w:pPr>
      <w:r>
        <w:rPr>
          <w:rFonts w:ascii="Times New Roman" w:hAnsi="Times New Roman"/>
          <w:sz w:val="24"/>
          <w:szCs w:val="24"/>
        </w:rPr>
        <w:t xml:space="preserve">Other </w:t>
      </w:r>
      <w:r w:rsidR="00A74BEA">
        <w:rPr>
          <w:rFonts w:ascii="Times New Roman" w:hAnsi="Times New Roman"/>
          <w:sz w:val="24"/>
          <w:szCs w:val="24"/>
        </w:rPr>
        <w:t xml:space="preserve">general </w:t>
      </w:r>
      <w:r>
        <w:rPr>
          <w:rFonts w:ascii="Times New Roman" w:hAnsi="Times New Roman"/>
          <w:sz w:val="24"/>
          <w:szCs w:val="24"/>
        </w:rPr>
        <w:t>obligations as ethics, visibility of EU funding, etc.</w:t>
      </w:r>
    </w:p>
    <w:p w:rsidR="00594432" w:rsidRDefault="00594432" w:rsidP="00594432">
      <w:pPr>
        <w:spacing w:before="240"/>
        <w:jc w:val="both"/>
        <w:rPr>
          <w:rFonts w:ascii="Times New Roman" w:hAnsi="Times New Roman"/>
          <w:sz w:val="24"/>
          <w:szCs w:val="24"/>
        </w:rPr>
      </w:pPr>
    </w:p>
    <w:p w:rsidR="00594432" w:rsidRDefault="00594432" w:rsidP="00594432">
      <w:pPr>
        <w:shd w:val="clear" w:color="auto" w:fill="F2DBDB" w:themeFill="accent2" w:themeFillTint="33"/>
        <w:jc w:val="both"/>
        <w:rPr>
          <w:rFonts w:ascii="Times New Roman" w:hAnsi="Times New Roman"/>
          <w:b/>
          <w:sz w:val="28"/>
          <w:szCs w:val="24"/>
        </w:rPr>
      </w:pPr>
      <w:r>
        <w:rPr>
          <w:rFonts w:ascii="Times New Roman" w:hAnsi="Times New Roman"/>
          <w:b/>
          <w:sz w:val="28"/>
          <w:szCs w:val="24"/>
        </w:rPr>
        <w:t xml:space="preserve">Budget Transfers </w:t>
      </w:r>
    </w:p>
    <w:p w:rsidR="00594432" w:rsidRDefault="00594432" w:rsidP="00594432">
      <w:pPr>
        <w:jc w:val="both"/>
        <w:rPr>
          <w:rFonts w:ascii="Segoe UI Semilight" w:eastAsia="Times New Roman" w:hAnsi="Segoe UI Semilight" w:cs="Segoe UI Semilight"/>
          <w:color w:val="4F81BD" w:themeColor="accent1"/>
          <w:lang w:eastAsia="es-ES"/>
        </w:rPr>
      </w:pPr>
    </w:p>
    <w:p w:rsidR="00594432" w:rsidRPr="00594432" w:rsidRDefault="00594432" w:rsidP="00594432">
      <w:pPr>
        <w:jc w:val="both"/>
        <w:rPr>
          <w:rFonts w:ascii="Times New Roman" w:hAnsi="Times New Roman"/>
          <w:sz w:val="24"/>
          <w:szCs w:val="24"/>
        </w:rPr>
      </w:pPr>
      <w:r w:rsidRPr="00594432">
        <w:rPr>
          <w:rFonts w:ascii="Times New Roman" w:hAnsi="Times New Roman"/>
          <w:sz w:val="24"/>
          <w:szCs w:val="24"/>
        </w:rPr>
        <w:t>The following principles apply:</w:t>
      </w:r>
    </w:p>
    <w:p w:rsidR="00594432" w:rsidRPr="00594432" w:rsidRDefault="00594432" w:rsidP="00594432">
      <w:pPr>
        <w:jc w:val="both"/>
        <w:rPr>
          <w:rFonts w:ascii="Times New Roman" w:hAnsi="Times New Roman"/>
          <w:sz w:val="24"/>
          <w:szCs w:val="24"/>
        </w:rPr>
      </w:pPr>
    </w:p>
    <w:p w:rsidR="00594432" w:rsidRDefault="00594432" w:rsidP="00594432">
      <w:pPr>
        <w:pStyle w:val="ListParagraph"/>
        <w:numPr>
          <w:ilvl w:val="0"/>
          <w:numId w:val="11"/>
        </w:numPr>
        <w:jc w:val="both"/>
        <w:rPr>
          <w:rFonts w:ascii="Times New Roman" w:hAnsi="Times New Roman"/>
          <w:sz w:val="24"/>
          <w:szCs w:val="24"/>
        </w:rPr>
      </w:pPr>
      <w:r w:rsidRPr="00594432">
        <w:rPr>
          <w:rFonts w:ascii="Times New Roman" w:hAnsi="Times New Roman"/>
          <w:sz w:val="24"/>
          <w:szCs w:val="24"/>
        </w:rPr>
        <w:t>The estimated lump sum breakdown indicated in Annex 2 does not prescribe how the EU contribution is to be distributed over the benefi</w:t>
      </w:r>
      <w:r w:rsidR="00DC0891">
        <w:rPr>
          <w:rFonts w:ascii="Times New Roman" w:hAnsi="Times New Roman"/>
          <w:sz w:val="24"/>
          <w:szCs w:val="24"/>
        </w:rPr>
        <w:t xml:space="preserve">ciaries. So, as it is the case </w:t>
      </w:r>
      <w:r w:rsidRPr="00594432">
        <w:rPr>
          <w:rFonts w:ascii="Times New Roman" w:hAnsi="Times New Roman"/>
          <w:sz w:val="24"/>
          <w:szCs w:val="24"/>
        </w:rPr>
        <w:t>under the general MGA, beneficiaries c</w:t>
      </w:r>
      <w:r w:rsidR="00DC0891">
        <w:rPr>
          <w:rFonts w:ascii="Times New Roman" w:hAnsi="Times New Roman"/>
          <w:sz w:val="24"/>
          <w:szCs w:val="24"/>
        </w:rPr>
        <w:t>an</w:t>
      </w:r>
      <w:r w:rsidRPr="00594432">
        <w:rPr>
          <w:rFonts w:ascii="Times New Roman" w:hAnsi="Times New Roman"/>
          <w:sz w:val="24"/>
          <w:szCs w:val="24"/>
        </w:rPr>
        <w:t xml:space="preserve"> transfer budget among themselves without requesting an amendment </w:t>
      </w:r>
      <w:r w:rsidRPr="003C7387">
        <w:rPr>
          <w:rFonts w:ascii="Times New Roman" w:hAnsi="Times New Roman"/>
          <w:b/>
          <w:sz w:val="24"/>
          <w:szCs w:val="24"/>
        </w:rPr>
        <w:t>provided that Annex I has not to be changed</w:t>
      </w:r>
      <w:r w:rsidRPr="00594432">
        <w:rPr>
          <w:rFonts w:ascii="Times New Roman" w:hAnsi="Times New Roman"/>
          <w:sz w:val="24"/>
          <w:szCs w:val="24"/>
        </w:rPr>
        <w:t xml:space="preserve">. </w:t>
      </w:r>
    </w:p>
    <w:p w:rsidR="00DC0891" w:rsidRDefault="00DC0891" w:rsidP="00DC0891">
      <w:pPr>
        <w:pStyle w:val="ListParagraph"/>
        <w:jc w:val="both"/>
        <w:rPr>
          <w:rFonts w:ascii="Times New Roman" w:hAnsi="Times New Roman"/>
          <w:sz w:val="24"/>
          <w:szCs w:val="24"/>
        </w:rPr>
      </w:pPr>
    </w:p>
    <w:p w:rsidR="003C7387" w:rsidRDefault="00594432" w:rsidP="003C7387">
      <w:pPr>
        <w:pStyle w:val="ListParagraph"/>
        <w:numPr>
          <w:ilvl w:val="0"/>
          <w:numId w:val="11"/>
        </w:numPr>
        <w:jc w:val="both"/>
        <w:rPr>
          <w:rFonts w:ascii="Times New Roman" w:hAnsi="Times New Roman"/>
          <w:sz w:val="24"/>
          <w:szCs w:val="24"/>
        </w:rPr>
      </w:pPr>
      <w:r w:rsidRPr="00594432">
        <w:rPr>
          <w:rFonts w:ascii="Times New Roman" w:hAnsi="Times New Roman"/>
          <w:sz w:val="24"/>
          <w:szCs w:val="24"/>
        </w:rPr>
        <w:t>The estimated lump sum shares indicated in Annex 2 can be adjusted by transfers of amounts between beneficiaries and/or work packages, via an amendment (see Article 55).</w:t>
      </w:r>
      <w:r w:rsidR="003C7387" w:rsidRPr="003C7387">
        <w:rPr>
          <w:rFonts w:ascii="Times New Roman" w:hAnsi="Times New Roman"/>
          <w:sz w:val="24"/>
          <w:szCs w:val="24"/>
        </w:rPr>
        <w:t xml:space="preserve"> </w:t>
      </w:r>
      <w:r w:rsidR="003C7387">
        <w:rPr>
          <w:rFonts w:ascii="Times New Roman" w:hAnsi="Times New Roman"/>
          <w:sz w:val="24"/>
          <w:szCs w:val="24"/>
        </w:rPr>
        <w:t>However</w:t>
      </w:r>
      <w:r w:rsidR="00DC0891">
        <w:rPr>
          <w:rFonts w:ascii="Times New Roman" w:hAnsi="Times New Roman"/>
          <w:sz w:val="24"/>
          <w:szCs w:val="24"/>
        </w:rPr>
        <w:t>,</w:t>
      </w:r>
      <w:r w:rsidR="003C7387">
        <w:rPr>
          <w:rFonts w:ascii="Times New Roman" w:hAnsi="Times New Roman"/>
          <w:sz w:val="24"/>
          <w:szCs w:val="24"/>
        </w:rPr>
        <w:t xml:space="preserve"> </w:t>
      </w:r>
      <w:r w:rsidR="003C7387" w:rsidRPr="003C7387">
        <w:rPr>
          <w:rFonts w:ascii="Times New Roman" w:hAnsi="Times New Roman"/>
          <w:b/>
          <w:sz w:val="24"/>
          <w:szCs w:val="24"/>
        </w:rPr>
        <w:t>amendment request to transfer amounts between Work Packages</w:t>
      </w:r>
      <w:r w:rsidR="003C7387" w:rsidRPr="00594432">
        <w:rPr>
          <w:rFonts w:ascii="Times New Roman" w:hAnsi="Times New Roman"/>
          <w:sz w:val="24"/>
          <w:szCs w:val="24"/>
        </w:rPr>
        <w:t xml:space="preserve"> would have to </w:t>
      </w:r>
      <w:r w:rsidR="003C7387" w:rsidRPr="003C7387">
        <w:rPr>
          <w:rFonts w:ascii="Times New Roman" w:hAnsi="Times New Roman"/>
          <w:b/>
          <w:sz w:val="24"/>
          <w:szCs w:val="24"/>
        </w:rPr>
        <w:t>fulfil certain conditions</w:t>
      </w:r>
      <w:r w:rsidR="003C7387" w:rsidRPr="00594432">
        <w:rPr>
          <w:rFonts w:ascii="Times New Roman" w:hAnsi="Times New Roman"/>
          <w:sz w:val="24"/>
          <w:szCs w:val="24"/>
        </w:rPr>
        <w:t xml:space="preserve"> for being accepted by the Commission</w:t>
      </w:r>
      <w:r w:rsidR="003C7387">
        <w:rPr>
          <w:rFonts w:ascii="Times New Roman" w:hAnsi="Times New Roman"/>
          <w:sz w:val="24"/>
          <w:szCs w:val="24"/>
        </w:rPr>
        <w:t>, i.e.:</w:t>
      </w:r>
    </w:p>
    <w:p w:rsidR="003C7387" w:rsidRPr="003C7387" w:rsidRDefault="003C7387" w:rsidP="003C7387">
      <w:pPr>
        <w:pStyle w:val="ListParagraph"/>
        <w:jc w:val="both"/>
        <w:rPr>
          <w:rFonts w:ascii="Times New Roman" w:hAnsi="Times New Roman"/>
          <w:sz w:val="24"/>
          <w:szCs w:val="24"/>
        </w:rPr>
      </w:pPr>
    </w:p>
    <w:p w:rsidR="00594432" w:rsidRPr="00594432" w:rsidRDefault="003C7387" w:rsidP="003C7387">
      <w:pPr>
        <w:numPr>
          <w:ilvl w:val="1"/>
          <w:numId w:val="11"/>
        </w:numPr>
        <w:jc w:val="both"/>
        <w:rPr>
          <w:rFonts w:ascii="Times New Roman" w:hAnsi="Times New Roman"/>
          <w:sz w:val="24"/>
          <w:szCs w:val="24"/>
        </w:rPr>
      </w:pPr>
      <w:r>
        <w:rPr>
          <w:rFonts w:ascii="Times New Roman" w:hAnsi="Times New Roman"/>
          <w:sz w:val="24"/>
          <w:szCs w:val="24"/>
        </w:rPr>
        <w:lastRenderedPageBreak/>
        <w:t xml:space="preserve">it concerns Work Packages </w:t>
      </w:r>
      <w:r w:rsidR="00594432" w:rsidRPr="00594432">
        <w:rPr>
          <w:rFonts w:ascii="Times New Roman" w:hAnsi="Times New Roman"/>
          <w:sz w:val="24"/>
          <w:szCs w:val="24"/>
        </w:rPr>
        <w:t xml:space="preserve">not already completed (and declared in a financial statement) </w:t>
      </w:r>
    </w:p>
    <w:p w:rsidR="00594432" w:rsidRPr="00594432" w:rsidRDefault="00594432" w:rsidP="003C7387">
      <w:pPr>
        <w:ind w:left="1080"/>
        <w:jc w:val="both"/>
        <w:rPr>
          <w:rFonts w:ascii="Times New Roman" w:hAnsi="Times New Roman"/>
          <w:sz w:val="24"/>
          <w:szCs w:val="24"/>
        </w:rPr>
      </w:pPr>
    </w:p>
    <w:p w:rsidR="00594432" w:rsidRPr="00594432" w:rsidRDefault="003C7387" w:rsidP="003C7387">
      <w:pPr>
        <w:numPr>
          <w:ilvl w:val="1"/>
          <w:numId w:val="11"/>
        </w:numPr>
        <w:jc w:val="both"/>
        <w:rPr>
          <w:rFonts w:ascii="Times New Roman" w:hAnsi="Times New Roman"/>
          <w:sz w:val="24"/>
          <w:szCs w:val="24"/>
        </w:rPr>
      </w:pPr>
      <w:r>
        <w:rPr>
          <w:rFonts w:ascii="Times New Roman" w:hAnsi="Times New Roman"/>
          <w:sz w:val="24"/>
          <w:szCs w:val="24"/>
        </w:rPr>
        <w:t xml:space="preserve">it is </w:t>
      </w:r>
      <w:r w:rsidR="00594432" w:rsidRPr="00594432">
        <w:rPr>
          <w:rFonts w:ascii="Times New Roman" w:hAnsi="Times New Roman"/>
          <w:sz w:val="24"/>
          <w:szCs w:val="24"/>
        </w:rPr>
        <w:t xml:space="preserve">justified by the technical and scientific implementation of the action and </w:t>
      </w:r>
    </w:p>
    <w:p w:rsidR="00594432" w:rsidRPr="00594432" w:rsidRDefault="00594432" w:rsidP="003C7387">
      <w:pPr>
        <w:jc w:val="both"/>
        <w:rPr>
          <w:rFonts w:ascii="Times New Roman" w:hAnsi="Times New Roman"/>
          <w:sz w:val="24"/>
          <w:szCs w:val="24"/>
        </w:rPr>
      </w:pPr>
    </w:p>
    <w:p w:rsidR="00594432" w:rsidRPr="00594432" w:rsidRDefault="00594432" w:rsidP="003C7387">
      <w:pPr>
        <w:numPr>
          <w:ilvl w:val="1"/>
          <w:numId w:val="11"/>
        </w:numPr>
        <w:jc w:val="both"/>
        <w:rPr>
          <w:rFonts w:ascii="Times New Roman" w:hAnsi="Times New Roman"/>
          <w:sz w:val="24"/>
          <w:szCs w:val="24"/>
        </w:rPr>
      </w:pPr>
      <w:proofErr w:type="gramStart"/>
      <w:r w:rsidRPr="00594432">
        <w:rPr>
          <w:rFonts w:ascii="Times New Roman" w:hAnsi="Times New Roman"/>
          <w:sz w:val="24"/>
          <w:szCs w:val="24"/>
        </w:rPr>
        <w:t>a</w:t>
      </w:r>
      <w:proofErr w:type="gramEnd"/>
      <w:r w:rsidRPr="00594432">
        <w:rPr>
          <w:rFonts w:ascii="Times New Roman" w:hAnsi="Times New Roman"/>
          <w:sz w:val="24"/>
          <w:szCs w:val="24"/>
        </w:rPr>
        <w:t xml:space="preserve"> review in accordance with Article 22.1.2 confirms that the amendment does not call into question the decision awarding the grant or breach the principle of equal treatment of applicants.  </w:t>
      </w:r>
    </w:p>
    <w:p w:rsidR="00594432" w:rsidRPr="00594432" w:rsidRDefault="00594432" w:rsidP="00594432">
      <w:pPr>
        <w:spacing w:before="240"/>
        <w:jc w:val="both"/>
        <w:rPr>
          <w:rFonts w:ascii="Times New Roman" w:hAnsi="Times New Roman"/>
          <w:sz w:val="24"/>
          <w:szCs w:val="24"/>
        </w:rPr>
      </w:pPr>
    </w:p>
    <w:sectPr w:rsidR="00594432" w:rsidRPr="00594432" w:rsidSect="004A69E2">
      <w:headerReference w:type="default" r:id="rId9"/>
      <w:footerReference w:type="default" r:id="rId10"/>
      <w:pgSz w:w="11906" w:h="16838"/>
      <w:pgMar w:top="1417" w:right="1417" w:bottom="1417" w:left="1417" w:header="708"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1F" w:rsidRDefault="0026361F" w:rsidP="00844ECF">
      <w:r>
        <w:separator/>
      </w:r>
    </w:p>
  </w:endnote>
  <w:endnote w:type="continuationSeparator" w:id="0">
    <w:p w:rsidR="0026361F" w:rsidRDefault="0026361F" w:rsidP="0084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light">
    <w:altName w:val="Arial"/>
    <w:charset w:val="00"/>
    <w:family w:val="swiss"/>
    <w:pitch w:val="variable"/>
    <w:sig w:usb0="00000000"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E2" w:rsidRDefault="00594432" w:rsidP="004A69E2">
    <w:pPr>
      <w:pStyle w:val="Footer"/>
      <w:pBdr>
        <w:top w:val="single" w:sz="4" w:space="1" w:color="auto"/>
      </w:pBdr>
      <w:jc w:val="right"/>
    </w:pPr>
    <w:r>
      <w:rPr>
        <w:i/>
        <w:iCs/>
        <w:color w:val="8C8C8C" w:themeColor="background1" w:themeShade="8C"/>
        <w:lang w:val="fr-BE"/>
      </w:rPr>
      <w:t>27/07</w:t>
    </w:r>
    <w:r w:rsidR="004A69E2">
      <w:rPr>
        <w:i/>
        <w:iCs/>
        <w:color w:val="8C8C8C" w:themeColor="background1" w:themeShade="8C"/>
        <w:lang w:val="fr-BE"/>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1F" w:rsidRDefault="0026361F" w:rsidP="00844ECF">
      <w:r>
        <w:separator/>
      </w:r>
    </w:p>
  </w:footnote>
  <w:footnote w:type="continuationSeparator" w:id="0">
    <w:p w:rsidR="0026361F" w:rsidRDefault="0026361F" w:rsidP="0084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5837"/>
    </w:tblGrid>
    <w:tr w:rsidR="004A69E2" w:rsidTr="004A69E2">
      <w:trPr>
        <w:trHeight w:hRule="exact" w:val="792"/>
      </w:trPr>
      <w:tc>
        <w:tcPr>
          <w:tcW w:w="792" w:type="dxa"/>
          <w:shd w:val="clear" w:color="auto" w:fill="C0504D" w:themeFill="accent2"/>
          <w:vAlign w:val="center"/>
        </w:tcPr>
        <w:p w:rsidR="004A69E2" w:rsidRDefault="004A69E2" w:rsidP="004A69E2">
          <w:pPr>
            <w:pStyle w:val="Footer"/>
            <w:tabs>
              <w:tab w:val="clear" w:pos="4536"/>
              <w:tab w:val="center" w:pos="5812"/>
            </w:tabs>
            <w:jc w:val="center"/>
            <w:rPr>
              <w:color w:val="FFFFFF" w:themeColor="background1"/>
            </w:rPr>
          </w:pPr>
          <w:r>
            <w:fldChar w:fldCharType="begin"/>
          </w:r>
          <w:r>
            <w:instrText xml:space="preserve"> PAGE  \* MERGEFORMAT </w:instrText>
          </w:r>
          <w:r>
            <w:fldChar w:fldCharType="separate"/>
          </w:r>
          <w:r w:rsidR="00B671BD" w:rsidRPr="00B671BD">
            <w:rPr>
              <w:noProof/>
              <w:color w:val="FFFFFF" w:themeColor="background1"/>
            </w:rPr>
            <w:t>1</w:t>
          </w:r>
          <w:r>
            <w:rPr>
              <w:noProof/>
              <w:color w:val="FFFFFF" w:themeColor="background1"/>
            </w:rPr>
            <w:fldChar w:fldCharType="end"/>
          </w:r>
        </w:p>
      </w:tc>
      <w:sdt>
        <w:sdtPr>
          <w:rPr>
            <w:rFonts w:asciiTheme="majorHAnsi" w:eastAsiaTheme="majorEastAsia" w:hAnsiTheme="majorHAnsi" w:cstheme="majorBidi"/>
            <w:b/>
            <w:sz w:val="28"/>
            <w:szCs w:val="28"/>
          </w:rPr>
          <w:alias w:val="Title"/>
          <w:id w:val="23280118"/>
          <w:placeholder>
            <w:docPart w:val="3526E27C1DD44A00974862A9E8308202"/>
          </w:placeholder>
          <w:dataBinding w:prefixMappings="xmlns:ns0='http://schemas.openxmlformats.org/package/2006/metadata/core-properties' xmlns:ns1='http://purl.org/dc/elements/1.1/'" w:xpath="/ns0:coreProperties[1]/ns1:title[1]" w:storeItemID="{6C3C8BC8-F283-45AE-878A-BAB7291924A1}"/>
          <w:text/>
        </w:sdtPr>
        <w:sdtEndPr/>
        <w:sdtContent>
          <w:tc>
            <w:tcPr>
              <w:tcW w:w="5837" w:type="dxa"/>
              <w:vAlign w:val="center"/>
            </w:tcPr>
            <w:p w:rsidR="004A69E2" w:rsidRDefault="00CC4AEB" w:rsidP="00CC4AEB">
              <w:pPr>
                <w:pStyle w:val="Footer"/>
                <w:rPr>
                  <w:rFonts w:asciiTheme="majorHAnsi" w:eastAsiaTheme="majorEastAsia" w:hAnsiTheme="majorHAnsi" w:cstheme="majorBidi"/>
                  <w:sz w:val="28"/>
                  <w:szCs w:val="28"/>
                </w:rPr>
              </w:pPr>
              <w:r>
                <w:rPr>
                  <w:rFonts w:asciiTheme="majorHAnsi" w:eastAsiaTheme="majorEastAsia" w:hAnsiTheme="majorHAnsi" w:cstheme="majorBidi"/>
                  <w:b/>
                  <w:sz w:val="28"/>
                  <w:szCs w:val="28"/>
                </w:rPr>
                <w:t xml:space="preserve">New </w:t>
              </w:r>
              <w:r w:rsidR="004A69E2" w:rsidRPr="004A69E2">
                <w:rPr>
                  <w:rFonts w:asciiTheme="majorHAnsi" w:eastAsiaTheme="majorEastAsia" w:hAnsiTheme="majorHAnsi" w:cstheme="majorBidi"/>
                  <w:b/>
                  <w:sz w:val="28"/>
                  <w:szCs w:val="28"/>
                </w:rPr>
                <w:t xml:space="preserve">Lump </w:t>
              </w:r>
              <w:r>
                <w:rPr>
                  <w:rFonts w:asciiTheme="majorHAnsi" w:eastAsiaTheme="majorEastAsia" w:hAnsiTheme="majorHAnsi" w:cstheme="majorBidi"/>
                  <w:b/>
                  <w:sz w:val="28"/>
                  <w:szCs w:val="28"/>
                </w:rPr>
                <w:t>Sum grant</w:t>
              </w:r>
              <w:r w:rsidR="004A69E2" w:rsidRPr="004A69E2">
                <w:rPr>
                  <w:rFonts w:asciiTheme="majorHAnsi" w:eastAsiaTheme="majorEastAsia" w:hAnsiTheme="majorHAnsi" w:cstheme="majorBidi"/>
                  <w:b/>
                  <w:sz w:val="28"/>
                  <w:szCs w:val="28"/>
                </w:rPr>
                <w:t>:</w:t>
              </w:r>
              <w:r>
                <w:rPr>
                  <w:rFonts w:asciiTheme="majorHAnsi" w:eastAsiaTheme="majorEastAsia" w:hAnsiTheme="majorHAnsi" w:cstheme="majorBidi"/>
                  <w:b/>
                  <w:sz w:val="28"/>
                  <w:szCs w:val="28"/>
                </w:rPr>
                <w:t xml:space="preserve">  </w:t>
              </w:r>
              <w:r w:rsidR="004A69E2" w:rsidRPr="004A69E2">
                <w:rPr>
                  <w:rFonts w:asciiTheme="majorHAnsi" w:eastAsiaTheme="majorEastAsia" w:hAnsiTheme="majorHAnsi" w:cstheme="majorBidi"/>
                  <w:b/>
                  <w:sz w:val="28"/>
                  <w:szCs w:val="28"/>
                </w:rPr>
                <w:t xml:space="preserve">main </w:t>
              </w:r>
              <w:r w:rsidR="004A69E2">
                <w:rPr>
                  <w:rFonts w:asciiTheme="majorHAnsi" w:eastAsiaTheme="majorEastAsia" w:hAnsiTheme="majorHAnsi" w:cstheme="majorBidi"/>
                  <w:b/>
                  <w:sz w:val="28"/>
                  <w:szCs w:val="28"/>
                </w:rPr>
                <w:t>c</w:t>
              </w:r>
              <w:r w:rsidR="004A69E2" w:rsidRPr="004A69E2">
                <w:rPr>
                  <w:rFonts w:asciiTheme="majorHAnsi" w:eastAsiaTheme="majorEastAsia" w:hAnsiTheme="majorHAnsi" w:cstheme="majorBidi"/>
                  <w:b/>
                  <w:sz w:val="28"/>
                  <w:szCs w:val="28"/>
                </w:rPr>
                <w:t>haracteristics</w:t>
              </w:r>
            </w:p>
          </w:tc>
        </w:sdtContent>
      </w:sdt>
    </w:tr>
  </w:tbl>
  <w:sdt>
    <w:sdtPr>
      <w:id w:val="-1564558469"/>
      <w:docPartObj>
        <w:docPartGallery w:val="Watermarks"/>
        <w:docPartUnique/>
      </w:docPartObj>
    </w:sdtPr>
    <w:sdtEndPr/>
    <w:sdtContent>
      <w:p w:rsidR="00844ECF" w:rsidRDefault="00B671B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843"/>
    <w:multiLevelType w:val="hybridMultilevel"/>
    <w:tmpl w:val="212ABF18"/>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D32967"/>
    <w:multiLevelType w:val="hybridMultilevel"/>
    <w:tmpl w:val="37CABC72"/>
    <w:lvl w:ilvl="0" w:tplc="9050DE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4DA7"/>
    <w:multiLevelType w:val="hybridMultilevel"/>
    <w:tmpl w:val="8202E6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B08F8"/>
    <w:multiLevelType w:val="hybridMultilevel"/>
    <w:tmpl w:val="B6C8BA00"/>
    <w:lvl w:ilvl="0" w:tplc="C13A40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423BB"/>
    <w:multiLevelType w:val="hybridMultilevel"/>
    <w:tmpl w:val="3064F2A6"/>
    <w:lvl w:ilvl="0" w:tplc="C13A4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61AEC1AE">
      <w:start w:val="1"/>
      <w:numFmt w:val="decimal"/>
      <w:lvlText w:val="Step %3 -"/>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6589A"/>
    <w:multiLevelType w:val="hybridMultilevel"/>
    <w:tmpl w:val="C9184322"/>
    <w:lvl w:ilvl="0" w:tplc="C13A4058">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53633E86"/>
    <w:multiLevelType w:val="hybridMultilevel"/>
    <w:tmpl w:val="D3087D06"/>
    <w:lvl w:ilvl="0" w:tplc="9050DE32">
      <w:start w:val="1"/>
      <w:numFmt w:val="bullet"/>
      <w:lvlText w:val=""/>
      <w:lvlJc w:val="left"/>
      <w:pPr>
        <w:ind w:left="782" w:hanging="360"/>
      </w:pPr>
      <w:rPr>
        <w:rFonts w:ascii="Symbol" w:hAnsi="Symbol" w:hint="default"/>
        <w:color w:val="auto"/>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nsid w:val="57A81BA0"/>
    <w:multiLevelType w:val="hybridMultilevel"/>
    <w:tmpl w:val="F88CBBC2"/>
    <w:lvl w:ilvl="0" w:tplc="61AEC1AE">
      <w:start w:val="1"/>
      <w:numFmt w:val="decimal"/>
      <w:lvlText w:val="Step %1 -"/>
      <w:lvlJc w:val="left"/>
      <w:pPr>
        <w:ind w:left="720" w:hanging="360"/>
      </w:pPr>
      <w:rPr>
        <w:rFonts w:hint="default"/>
        <w:color w:val="0000CC"/>
      </w:rPr>
    </w:lvl>
    <w:lvl w:ilvl="1" w:tplc="08090003">
      <w:start w:val="1"/>
      <w:numFmt w:val="bullet"/>
      <w:lvlText w:val="o"/>
      <w:lvlJc w:val="left"/>
      <w:pPr>
        <w:ind w:left="1440" w:hanging="360"/>
      </w:pPr>
      <w:rPr>
        <w:rFonts w:ascii="Courier New" w:hAnsi="Courier New" w:cs="Courier New" w:hint="default"/>
      </w:rPr>
    </w:lvl>
    <w:lvl w:ilvl="2" w:tplc="61AEC1AE">
      <w:start w:val="1"/>
      <w:numFmt w:val="decimal"/>
      <w:lvlText w:val="Step %3 -"/>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96F37"/>
    <w:multiLevelType w:val="hybridMultilevel"/>
    <w:tmpl w:val="CA2ED864"/>
    <w:lvl w:ilvl="0" w:tplc="DC009160">
      <w:start w:val="1"/>
      <w:numFmt w:val="bullet"/>
      <w:lvlText w:val="Ä"/>
      <w:lvlJc w:val="left"/>
      <w:pPr>
        <w:ind w:left="1690" w:hanging="360"/>
      </w:pPr>
      <w:rPr>
        <w:rFonts w:ascii="Wingdings" w:hAnsi="Wingdings" w:hint="default"/>
      </w:rPr>
    </w:lvl>
    <w:lvl w:ilvl="1" w:tplc="08090003">
      <w:start w:val="1"/>
      <w:numFmt w:val="bullet"/>
      <w:lvlText w:val="o"/>
      <w:lvlJc w:val="left"/>
      <w:pPr>
        <w:ind w:left="2410" w:hanging="360"/>
      </w:pPr>
      <w:rPr>
        <w:rFonts w:ascii="Courier New" w:hAnsi="Courier New" w:cs="Courier New" w:hint="default"/>
      </w:rPr>
    </w:lvl>
    <w:lvl w:ilvl="2" w:tplc="08090005">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9">
    <w:nsid w:val="75592D49"/>
    <w:multiLevelType w:val="hybridMultilevel"/>
    <w:tmpl w:val="EAC6365C"/>
    <w:lvl w:ilvl="0" w:tplc="DC009160">
      <w:start w:val="1"/>
      <w:numFmt w:val="bullet"/>
      <w:lvlText w:val="Ä"/>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603740"/>
    <w:multiLevelType w:val="hybridMultilevel"/>
    <w:tmpl w:val="DE863CAA"/>
    <w:lvl w:ilvl="0" w:tplc="C13A40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392A76"/>
    <w:multiLevelType w:val="hybridMultilevel"/>
    <w:tmpl w:val="71321622"/>
    <w:lvl w:ilvl="0" w:tplc="FBD84C4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0"/>
  </w:num>
  <w:num w:numId="8">
    <w:abstractNumId w:val="1"/>
  </w:num>
  <w:num w:numId="9">
    <w:abstractNumId w:val="6"/>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72AF"/>
    <w:rsid w:val="00005511"/>
    <w:rsid w:val="000137E0"/>
    <w:rsid w:val="00014AB4"/>
    <w:rsid w:val="000158E5"/>
    <w:rsid w:val="0002220F"/>
    <w:rsid w:val="00063358"/>
    <w:rsid w:val="00065B99"/>
    <w:rsid w:val="00067E9E"/>
    <w:rsid w:val="0009712E"/>
    <w:rsid w:val="000C06DE"/>
    <w:rsid w:val="000D0789"/>
    <w:rsid w:val="000F1F2F"/>
    <w:rsid w:val="00102DB3"/>
    <w:rsid w:val="00107E6B"/>
    <w:rsid w:val="001613E1"/>
    <w:rsid w:val="0017218E"/>
    <w:rsid w:val="00175274"/>
    <w:rsid w:val="00182481"/>
    <w:rsid w:val="00196153"/>
    <w:rsid w:val="00196589"/>
    <w:rsid w:val="001D1CA8"/>
    <w:rsid w:val="001E152B"/>
    <w:rsid w:val="001E5099"/>
    <w:rsid w:val="002026FC"/>
    <w:rsid w:val="00241293"/>
    <w:rsid w:val="0026361F"/>
    <w:rsid w:val="00272E9F"/>
    <w:rsid w:val="0028500A"/>
    <w:rsid w:val="002A3D0D"/>
    <w:rsid w:val="002B6D4C"/>
    <w:rsid w:val="002D4FBD"/>
    <w:rsid w:val="002E05C7"/>
    <w:rsid w:val="002E2140"/>
    <w:rsid w:val="00300752"/>
    <w:rsid w:val="00306714"/>
    <w:rsid w:val="00321EFB"/>
    <w:rsid w:val="003272AF"/>
    <w:rsid w:val="00337245"/>
    <w:rsid w:val="0037223A"/>
    <w:rsid w:val="003C7387"/>
    <w:rsid w:val="004379EA"/>
    <w:rsid w:val="00473C1F"/>
    <w:rsid w:val="004A69E2"/>
    <w:rsid w:val="004B5211"/>
    <w:rsid w:val="004B5855"/>
    <w:rsid w:val="004E6635"/>
    <w:rsid w:val="00556432"/>
    <w:rsid w:val="00587163"/>
    <w:rsid w:val="00594432"/>
    <w:rsid w:val="005F41F8"/>
    <w:rsid w:val="00667217"/>
    <w:rsid w:val="006843E2"/>
    <w:rsid w:val="00695AC6"/>
    <w:rsid w:val="006E381A"/>
    <w:rsid w:val="006F7D72"/>
    <w:rsid w:val="00700CCD"/>
    <w:rsid w:val="00751442"/>
    <w:rsid w:val="00751848"/>
    <w:rsid w:val="007627E0"/>
    <w:rsid w:val="00764AE2"/>
    <w:rsid w:val="007E2727"/>
    <w:rsid w:val="00824F59"/>
    <w:rsid w:val="00824F84"/>
    <w:rsid w:val="00825F29"/>
    <w:rsid w:val="00836039"/>
    <w:rsid w:val="008364AB"/>
    <w:rsid w:val="00844ECF"/>
    <w:rsid w:val="00846152"/>
    <w:rsid w:val="008765F5"/>
    <w:rsid w:val="008B2C99"/>
    <w:rsid w:val="008E1BDE"/>
    <w:rsid w:val="008F4460"/>
    <w:rsid w:val="009024BA"/>
    <w:rsid w:val="0090464B"/>
    <w:rsid w:val="00917565"/>
    <w:rsid w:val="00934522"/>
    <w:rsid w:val="00970665"/>
    <w:rsid w:val="009713CE"/>
    <w:rsid w:val="00994488"/>
    <w:rsid w:val="009A1630"/>
    <w:rsid w:val="009C1490"/>
    <w:rsid w:val="009C524F"/>
    <w:rsid w:val="00A06935"/>
    <w:rsid w:val="00A578A9"/>
    <w:rsid w:val="00A6425E"/>
    <w:rsid w:val="00A672B4"/>
    <w:rsid w:val="00A74BEA"/>
    <w:rsid w:val="00A753EC"/>
    <w:rsid w:val="00A83E22"/>
    <w:rsid w:val="00A9215B"/>
    <w:rsid w:val="00AB0479"/>
    <w:rsid w:val="00AC64B0"/>
    <w:rsid w:val="00B10C38"/>
    <w:rsid w:val="00B41FFB"/>
    <w:rsid w:val="00B44FB0"/>
    <w:rsid w:val="00B671BD"/>
    <w:rsid w:val="00B81C6D"/>
    <w:rsid w:val="00BF4704"/>
    <w:rsid w:val="00C4265A"/>
    <w:rsid w:val="00C53BDD"/>
    <w:rsid w:val="00C61EA6"/>
    <w:rsid w:val="00C874A7"/>
    <w:rsid w:val="00CC4AEB"/>
    <w:rsid w:val="00CD1456"/>
    <w:rsid w:val="00D24471"/>
    <w:rsid w:val="00D40E20"/>
    <w:rsid w:val="00D5060B"/>
    <w:rsid w:val="00D95FEE"/>
    <w:rsid w:val="00D97F59"/>
    <w:rsid w:val="00DC0891"/>
    <w:rsid w:val="00DF2136"/>
    <w:rsid w:val="00DF47C9"/>
    <w:rsid w:val="00E046C8"/>
    <w:rsid w:val="00E447B8"/>
    <w:rsid w:val="00E51086"/>
    <w:rsid w:val="00E521C0"/>
    <w:rsid w:val="00E73320"/>
    <w:rsid w:val="00F45BB6"/>
    <w:rsid w:val="00F637C2"/>
    <w:rsid w:val="00FE3E63"/>
    <w:rsid w:val="00FF1BF4"/>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EC"/>
    <w:pPr>
      <w:ind w:left="720"/>
      <w:contextualSpacing/>
    </w:pPr>
  </w:style>
  <w:style w:type="paragraph" w:styleId="BalloonText">
    <w:name w:val="Balloon Text"/>
    <w:basedOn w:val="Normal"/>
    <w:link w:val="BalloonTextChar"/>
    <w:uiPriority w:val="99"/>
    <w:semiHidden/>
    <w:unhideWhenUsed/>
    <w:rsid w:val="00695AC6"/>
    <w:rPr>
      <w:rFonts w:ascii="Tahoma" w:hAnsi="Tahoma" w:cs="Tahoma"/>
      <w:sz w:val="16"/>
      <w:szCs w:val="16"/>
    </w:rPr>
  </w:style>
  <w:style w:type="character" w:customStyle="1" w:styleId="BalloonTextChar">
    <w:name w:val="Balloon Text Char"/>
    <w:basedOn w:val="DefaultParagraphFont"/>
    <w:link w:val="BalloonText"/>
    <w:uiPriority w:val="99"/>
    <w:semiHidden/>
    <w:rsid w:val="00695AC6"/>
    <w:rPr>
      <w:rFonts w:ascii="Tahoma" w:hAnsi="Tahoma" w:cs="Tahoma"/>
      <w:sz w:val="16"/>
      <w:szCs w:val="16"/>
      <w:lang w:eastAsia="en-GB"/>
    </w:rPr>
  </w:style>
  <w:style w:type="paragraph" w:styleId="Header">
    <w:name w:val="header"/>
    <w:basedOn w:val="Normal"/>
    <w:link w:val="HeaderChar"/>
    <w:uiPriority w:val="99"/>
    <w:unhideWhenUsed/>
    <w:rsid w:val="00844ECF"/>
    <w:pPr>
      <w:tabs>
        <w:tab w:val="center" w:pos="4536"/>
        <w:tab w:val="right" w:pos="9072"/>
      </w:tabs>
    </w:pPr>
  </w:style>
  <w:style w:type="character" w:customStyle="1" w:styleId="HeaderChar">
    <w:name w:val="Header Char"/>
    <w:basedOn w:val="DefaultParagraphFont"/>
    <w:link w:val="Header"/>
    <w:uiPriority w:val="99"/>
    <w:rsid w:val="00844ECF"/>
    <w:rPr>
      <w:rFonts w:ascii="Calibri" w:hAnsi="Calibri" w:cs="Times New Roman"/>
      <w:sz w:val="20"/>
      <w:szCs w:val="20"/>
      <w:lang w:eastAsia="en-GB"/>
    </w:rPr>
  </w:style>
  <w:style w:type="paragraph" w:styleId="Footer">
    <w:name w:val="footer"/>
    <w:basedOn w:val="Normal"/>
    <w:link w:val="FooterChar"/>
    <w:uiPriority w:val="99"/>
    <w:unhideWhenUsed/>
    <w:rsid w:val="00844ECF"/>
    <w:pPr>
      <w:tabs>
        <w:tab w:val="center" w:pos="4536"/>
        <w:tab w:val="right" w:pos="9072"/>
      </w:tabs>
    </w:pPr>
  </w:style>
  <w:style w:type="character" w:customStyle="1" w:styleId="FooterChar">
    <w:name w:val="Footer Char"/>
    <w:basedOn w:val="DefaultParagraphFont"/>
    <w:link w:val="Footer"/>
    <w:uiPriority w:val="99"/>
    <w:rsid w:val="00844ECF"/>
    <w:rPr>
      <w:rFonts w:ascii="Calibri" w:hAnsi="Calibri" w:cs="Times New Roman"/>
      <w:sz w:val="20"/>
      <w:szCs w:val="20"/>
      <w:lang w:eastAsia="en-GB"/>
    </w:rPr>
  </w:style>
  <w:style w:type="paragraph" w:styleId="FootnoteText">
    <w:name w:val="footnote text"/>
    <w:basedOn w:val="Normal"/>
    <w:link w:val="FootnoteTextChar"/>
    <w:uiPriority w:val="99"/>
    <w:semiHidden/>
    <w:unhideWhenUsed/>
    <w:rsid w:val="00CC4AEB"/>
  </w:style>
  <w:style w:type="character" w:customStyle="1" w:styleId="FootnoteTextChar">
    <w:name w:val="Footnote Text Char"/>
    <w:basedOn w:val="DefaultParagraphFont"/>
    <w:link w:val="FootnoteText"/>
    <w:uiPriority w:val="99"/>
    <w:semiHidden/>
    <w:rsid w:val="00CC4AEB"/>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CC4AEB"/>
    <w:rPr>
      <w:vertAlign w:val="superscript"/>
    </w:rPr>
  </w:style>
  <w:style w:type="character" w:styleId="CommentReference">
    <w:name w:val="annotation reference"/>
    <w:basedOn w:val="DefaultParagraphFont"/>
    <w:semiHidden/>
    <w:unhideWhenUsed/>
    <w:rsid w:val="00C61EA6"/>
    <w:rPr>
      <w:sz w:val="16"/>
      <w:szCs w:val="16"/>
    </w:rPr>
  </w:style>
  <w:style w:type="paragraph" w:styleId="CommentText">
    <w:name w:val="annotation text"/>
    <w:basedOn w:val="Normal"/>
    <w:link w:val="CommentTextChar"/>
    <w:uiPriority w:val="99"/>
    <w:semiHidden/>
    <w:unhideWhenUsed/>
    <w:rsid w:val="00C61EA6"/>
  </w:style>
  <w:style w:type="character" w:customStyle="1" w:styleId="CommentTextChar">
    <w:name w:val="Comment Text Char"/>
    <w:basedOn w:val="DefaultParagraphFont"/>
    <w:link w:val="CommentText"/>
    <w:uiPriority w:val="99"/>
    <w:semiHidden/>
    <w:rsid w:val="00C61EA6"/>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1EA6"/>
    <w:rPr>
      <w:b/>
      <w:bCs/>
    </w:rPr>
  </w:style>
  <w:style w:type="character" w:customStyle="1" w:styleId="CommentSubjectChar">
    <w:name w:val="Comment Subject Char"/>
    <w:basedOn w:val="CommentTextChar"/>
    <w:link w:val="CommentSubject"/>
    <w:uiPriority w:val="99"/>
    <w:semiHidden/>
    <w:rsid w:val="00C61EA6"/>
    <w:rPr>
      <w:rFonts w:ascii="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EC"/>
    <w:pPr>
      <w:ind w:left="720"/>
      <w:contextualSpacing/>
    </w:pPr>
  </w:style>
  <w:style w:type="paragraph" w:styleId="BalloonText">
    <w:name w:val="Balloon Text"/>
    <w:basedOn w:val="Normal"/>
    <w:link w:val="BalloonTextChar"/>
    <w:uiPriority w:val="99"/>
    <w:semiHidden/>
    <w:unhideWhenUsed/>
    <w:rsid w:val="00695AC6"/>
    <w:rPr>
      <w:rFonts w:ascii="Tahoma" w:hAnsi="Tahoma" w:cs="Tahoma"/>
      <w:sz w:val="16"/>
      <w:szCs w:val="16"/>
    </w:rPr>
  </w:style>
  <w:style w:type="character" w:customStyle="1" w:styleId="BalloonTextChar">
    <w:name w:val="Balloon Text Char"/>
    <w:basedOn w:val="DefaultParagraphFont"/>
    <w:link w:val="BalloonText"/>
    <w:uiPriority w:val="99"/>
    <w:semiHidden/>
    <w:rsid w:val="00695AC6"/>
    <w:rPr>
      <w:rFonts w:ascii="Tahoma" w:hAnsi="Tahoma" w:cs="Tahoma"/>
      <w:sz w:val="16"/>
      <w:szCs w:val="16"/>
      <w:lang w:eastAsia="en-GB"/>
    </w:rPr>
  </w:style>
  <w:style w:type="paragraph" w:styleId="Header">
    <w:name w:val="header"/>
    <w:basedOn w:val="Normal"/>
    <w:link w:val="HeaderChar"/>
    <w:uiPriority w:val="99"/>
    <w:unhideWhenUsed/>
    <w:rsid w:val="00844ECF"/>
    <w:pPr>
      <w:tabs>
        <w:tab w:val="center" w:pos="4536"/>
        <w:tab w:val="right" w:pos="9072"/>
      </w:tabs>
    </w:pPr>
  </w:style>
  <w:style w:type="character" w:customStyle="1" w:styleId="HeaderChar">
    <w:name w:val="Header Char"/>
    <w:basedOn w:val="DefaultParagraphFont"/>
    <w:link w:val="Header"/>
    <w:uiPriority w:val="99"/>
    <w:rsid w:val="00844ECF"/>
    <w:rPr>
      <w:rFonts w:ascii="Calibri" w:hAnsi="Calibri" w:cs="Times New Roman"/>
      <w:sz w:val="20"/>
      <w:szCs w:val="20"/>
      <w:lang w:eastAsia="en-GB"/>
    </w:rPr>
  </w:style>
  <w:style w:type="paragraph" w:styleId="Footer">
    <w:name w:val="footer"/>
    <w:basedOn w:val="Normal"/>
    <w:link w:val="FooterChar"/>
    <w:uiPriority w:val="99"/>
    <w:unhideWhenUsed/>
    <w:rsid w:val="00844ECF"/>
    <w:pPr>
      <w:tabs>
        <w:tab w:val="center" w:pos="4536"/>
        <w:tab w:val="right" w:pos="9072"/>
      </w:tabs>
    </w:pPr>
  </w:style>
  <w:style w:type="character" w:customStyle="1" w:styleId="FooterChar">
    <w:name w:val="Footer Char"/>
    <w:basedOn w:val="DefaultParagraphFont"/>
    <w:link w:val="Footer"/>
    <w:uiPriority w:val="99"/>
    <w:rsid w:val="00844ECF"/>
    <w:rPr>
      <w:rFonts w:ascii="Calibri" w:hAnsi="Calibri" w:cs="Times New Roman"/>
      <w:sz w:val="20"/>
      <w:szCs w:val="20"/>
      <w:lang w:eastAsia="en-GB"/>
    </w:rPr>
  </w:style>
  <w:style w:type="paragraph" w:styleId="FootnoteText">
    <w:name w:val="footnote text"/>
    <w:basedOn w:val="Normal"/>
    <w:link w:val="FootnoteTextChar"/>
    <w:uiPriority w:val="99"/>
    <w:semiHidden/>
    <w:unhideWhenUsed/>
    <w:rsid w:val="00CC4AEB"/>
  </w:style>
  <w:style w:type="character" w:customStyle="1" w:styleId="FootnoteTextChar">
    <w:name w:val="Footnote Text Char"/>
    <w:basedOn w:val="DefaultParagraphFont"/>
    <w:link w:val="FootnoteText"/>
    <w:uiPriority w:val="99"/>
    <w:semiHidden/>
    <w:rsid w:val="00CC4AEB"/>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CC4AEB"/>
    <w:rPr>
      <w:vertAlign w:val="superscript"/>
    </w:rPr>
  </w:style>
  <w:style w:type="character" w:styleId="CommentReference">
    <w:name w:val="annotation reference"/>
    <w:basedOn w:val="DefaultParagraphFont"/>
    <w:semiHidden/>
    <w:unhideWhenUsed/>
    <w:rsid w:val="00C61EA6"/>
    <w:rPr>
      <w:sz w:val="16"/>
      <w:szCs w:val="16"/>
    </w:rPr>
  </w:style>
  <w:style w:type="paragraph" w:styleId="CommentText">
    <w:name w:val="annotation text"/>
    <w:basedOn w:val="Normal"/>
    <w:link w:val="CommentTextChar"/>
    <w:uiPriority w:val="99"/>
    <w:semiHidden/>
    <w:unhideWhenUsed/>
    <w:rsid w:val="00C61EA6"/>
  </w:style>
  <w:style w:type="character" w:customStyle="1" w:styleId="CommentTextChar">
    <w:name w:val="Comment Text Char"/>
    <w:basedOn w:val="DefaultParagraphFont"/>
    <w:link w:val="CommentText"/>
    <w:uiPriority w:val="99"/>
    <w:semiHidden/>
    <w:rsid w:val="00C61EA6"/>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1EA6"/>
    <w:rPr>
      <w:b/>
      <w:bCs/>
    </w:rPr>
  </w:style>
  <w:style w:type="character" w:customStyle="1" w:styleId="CommentSubjectChar">
    <w:name w:val="Comment Subject Char"/>
    <w:basedOn w:val="CommentTextChar"/>
    <w:link w:val="CommentSubject"/>
    <w:uiPriority w:val="99"/>
    <w:semiHidden/>
    <w:rsid w:val="00C61EA6"/>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26E27C1DD44A00974862A9E8308202"/>
        <w:category>
          <w:name w:val="General"/>
          <w:gallery w:val="placeholder"/>
        </w:category>
        <w:types>
          <w:type w:val="bbPlcHdr"/>
        </w:types>
        <w:behaviors>
          <w:behavior w:val="content"/>
        </w:behaviors>
        <w:guid w:val="{BDCD79AB-4425-4E88-80C5-8571B6724023}"/>
      </w:docPartPr>
      <w:docPartBody>
        <w:p w:rsidR="00505872" w:rsidRDefault="0048312D" w:rsidP="0048312D">
          <w:pPr>
            <w:pStyle w:val="3526E27C1DD44A00974862A9E830820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light">
    <w:altName w:val="Arial"/>
    <w:charset w:val="00"/>
    <w:family w:val="swiss"/>
    <w:pitch w:val="variable"/>
    <w:sig w:usb0="00000000"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D"/>
    <w:rsid w:val="00176D88"/>
    <w:rsid w:val="0048312D"/>
    <w:rsid w:val="00505872"/>
    <w:rsid w:val="00AF5CE5"/>
    <w:rsid w:val="00BB2299"/>
    <w:rsid w:val="00FC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6E27C1DD44A00974862A9E8308202">
    <w:name w:val="3526E27C1DD44A00974862A9E8308202"/>
    <w:rsid w:val="0048312D"/>
  </w:style>
  <w:style w:type="paragraph" w:customStyle="1" w:styleId="15630C4075D1433C8C3EF2A027D04E5A">
    <w:name w:val="15630C4075D1433C8C3EF2A027D04E5A"/>
    <w:rsid w:val="004831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6E27C1DD44A00974862A9E8308202">
    <w:name w:val="3526E27C1DD44A00974862A9E8308202"/>
    <w:rsid w:val="0048312D"/>
  </w:style>
  <w:style w:type="paragraph" w:customStyle="1" w:styleId="15630C4075D1433C8C3EF2A027D04E5A">
    <w:name w:val="15630C4075D1433C8C3EF2A027D04E5A"/>
    <w:rsid w:val="0048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5E60-0C84-4534-B76D-FA467BDE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New Lump Sum grant:  main characteristics</vt:lpstr>
    </vt:vector>
  </TitlesOfParts>
  <Company>European Commission</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Lump Sum grant:  main characteristics</dc:title>
  <dc:creator>CLSS Helpdesk</dc:creator>
  <cp:lastModifiedBy>LEROY Isabelle (RTD)</cp:lastModifiedBy>
  <cp:revision>2</cp:revision>
  <cp:lastPrinted>2017-06-13T09:08:00Z</cp:lastPrinted>
  <dcterms:created xsi:type="dcterms:W3CDTF">2017-07-28T07:30:00Z</dcterms:created>
  <dcterms:modified xsi:type="dcterms:W3CDTF">2017-07-28T07:30:00Z</dcterms:modified>
</cp:coreProperties>
</file>