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0E" w:rsidRPr="00582909" w:rsidRDefault="008B2C0E" w:rsidP="008B2C0E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0"/>
    </w:p>
    <w:p w:rsidR="008B2C0E" w:rsidRPr="0065366A" w:rsidRDefault="008B2C0E" w:rsidP="008B2C0E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8B2C0E" w:rsidRPr="0065366A" w:rsidRDefault="008B2C0E" w:rsidP="008B2C0E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8B2C0E" w:rsidRPr="0065366A" w:rsidRDefault="008B2C0E" w:rsidP="008B2C0E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8B2C0E" w:rsidRPr="00CC75DD" w:rsidRDefault="008B2C0E" w:rsidP="008B2C0E">
      <w:pPr>
        <w:tabs>
          <w:tab w:val="left" w:pos="3255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90"/>
        <w:gridCol w:w="1620"/>
        <w:gridCol w:w="1710"/>
        <w:gridCol w:w="1754"/>
      </w:tblGrid>
      <w:tr w:rsidR="008B2C0E" w:rsidRPr="00CC75DD" w:rsidTr="008B2C0E">
        <w:trPr>
          <w:tblHeader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b/>
                <w:sz w:val="20"/>
                <w:szCs w:val="20"/>
              </w:rPr>
              <w:t>ΕΠΙΘΥΜΗΤΗ ΣΥΣΚΕΥΑΣΙΑ (ΜΟΝΑΔΑ ΜΕΤΡΗΣΗΣ)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b/>
                <w:sz w:val="20"/>
                <w:szCs w:val="20"/>
              </w:rPr>
              <w:t>ΠΟΣΟΤΗΤΑ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b/>
                <w:sz w:val="20"/>
                <w:szCs w:val="20"/>
              </w:rPr>
              <w:t>ΠΡΟΣΦΕΡΕΤΑΙ (συμπληρώνεται από τον προμηθευτή) ΝΑΙ/ΟΧΙ</w:t>
            </w: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Human IL-6 </w:t>
            </w:r>
            <w:proofErr w:type="spellStart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Quantikine</w:t>
            </w:r>
            <w:proofErr w:type="spellEnd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ELISA Kit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R&amp;D Systems D6050,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  <w:lang w:val="en-US"/>
              </w:rPr>
              <w:t>Kit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Human TNF-alpha </w:t>
            </w:r>
            <w:proofErr w:type="spellStart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Quantikine</w:t>
            </w:r>
            <w:proofErr w:type="spellEnd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ELISA Kit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R&amp;D Systems DTA00D,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Kit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477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Recombinant Human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Secretory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phospholipase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A2 protein,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Abcam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ab63843,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PageRuler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™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Prestained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Protein Ladder, 10 to 180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kDa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26616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 x 250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trHeight w:val="277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tabs>
                <w:tab w:val="right" w:pos="466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Opti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-MEM™ I Reduced Serum Medium,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31985062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Fetal Bovine Serum, qualified, heat inactivated, Brazil,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10500064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Water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for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HPLC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>-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MS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Fisher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</w:rPr>
              <w:t xml:space="preserve">/0112/17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  <w:vAlign w:val="center"/>
          </w:tcPr>
          <w:p w:rsidR="008B2C0E" w:rsidRPr="00CC75DD" w:rsidRDefault="008B2C0E" w:rsidP="0075409B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bCs/>
                <w:sz w:val="20"/>
                <w:szCs w:val="20"/>
              </w:rPr>
              <w:t>2,5</w:t>
            </w:r>
            <w:proofErr w:type="spellStart"/>
            <w:r w:rsidRPr="00CC75D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lt</w:t>
            </w:r>
            <w:proofErr w:type="spellEnd"/>
          </w:p>
          <w:p w:rsidR="008B2C0E" w:rsidRPr="00CC75DD" w:rsidRDefault="008B2C0E" w:rsidP="0075409B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481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Acetonitrile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99.9+%, HPLC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lastRenderedPageBreak/>
              <w:t xml:space="preserve">for gradient analysis, Fisher A/0627/17,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2,5lt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1367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Γάντια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</w:rPr>
              <w:t>νιτριλίου</w:t>
            </w:r>
            <w:proofErr w:type="spellEnd"/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>Αιθανόλη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>μετουσιωμένη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, Ethanol 70 % denatured with IPA, MEK and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Bitrex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pure,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Panreac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147196,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5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Pierce™ TMB Substrate Kit, </w:t>
            </w:r>
            <w:proofErr w:type="spellStart"/>
            <w:r w:rsidRPr="00CC75DD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CC75DD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 Scientific 34021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400ml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Acetone 16kg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Water, HPLC for gradient analysis, Fisher W/0106/17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  <w:vAlign w:val="center"/>
          </w:tcPr>
          <w:p w:rsidR="008B2C0E" w:rsidRPr="00CC75DD" w:rsidRDefault="008B2C0E" w:rsidP="0075409B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2,5lt</w:t>
            </w:r>
          </w:p>
          <w:p w:rsidR="008B2C0E" w:rsidRPr="00CC75DD" w:rsidRDefault="008B2C0E" w:rsidP="0075409B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8B2C0E" w:rsidRPr="00CC75DD" w:rsidRDefault="008B2C0E" w:rsidP="0075409B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Φίλτρα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σύριγγας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με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μεμβράνη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οξικής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κυτταρίνης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αποστειρωμένα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Syringe filters C.A, 25mm, 0.22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m, sterile, Membrane Solutions SFCA025022S,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Protease and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Phosphatase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Inhibitor Cocktail, Sigma PPC1010,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RT²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qPCR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Primer Assay for Human TNF (Cat No. PPH</w:t>
            </w:r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00341</w:t>
            </w:r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-200),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Qiagen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330001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200 assays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720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RT²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qPCR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Primer Assay for Human IL6 (Cat No. 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PPH00560C-200),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Qiagen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 330001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200 assays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spacing w:val="15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β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-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Glucosidase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Thermostable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) (</w:t>
            </w:r>
            <w:proofErr w:type="spellStart"/>
            <w:r w:rsidRPr="00CC75DD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>Thermotoga</w:t>
            </w:r>
            <w:proofErr w:type="spellEnd"/>
            <w:r w:rsidRPr="00CC75DD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5DD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>maritima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Megazyme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E-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Β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GOSTM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460 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4-Nitrophenyl </w:t>
            </w:r>
            <w:proofErr w:type="spellStart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butyrate</w:t>
            </w:r>
            <w:proofErr w:type="spellEnd"/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 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≥98%, 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Sigma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N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>9876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Cytochrome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c from equine heart </w:t>
            </w:r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≥95% (SDS-PAGE), Sigma C2506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tabs>
                <w:tab w:val="left" w:pos="630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100mg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Cellulase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from </w:t>
            </w:r>
            <w:proofErr w:type="spellStart"/>
            <w:r w:rsidRPr="00CC75D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Trichoderma</w:t>
            </w:r>
            <w:proofErr w:type="spellEnd"/>
            <w:r w:rsidRPr="00CC75D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CC75D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reesei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aqueous solution, ≥700 units/g, Sigma C2730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tabs>
                <w:tab w:val="left" w:pos="630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50ml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274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Scintillation vials 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γυάλινα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-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Ν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702021, with screw cap 702059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274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23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IL-1 beta human </w:t>
            </w:r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Animal-component free, recombinant, expressed in </w:t>
            </w:r>
            <w:r w:rsidRPr="00CC75DD">
              <w:rPr>
                <w:rFonts w:ascii="Segoe UI" w:hAnsi="Segoe UI" w:cs="Segoe UI"/>
                <w:i/>
                <w:iCs/>
                <w:sz w:val="20"/>
                <w:szCs w:val="20"/>
                <w:lang w:val="en-US" w:eastAsia="el-GR"/>
              </w:rPr>
              <w:t>E. coli</w:t>
            </w:r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≥98% (SDS-PAGE), ≥98% (HPLC), cell culture tested, Sigma SRP3083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trHeight w:val="557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1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Methanol RPE - For analysis - ACS -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Ph.Eur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-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USP, 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Carlo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Erba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 414813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25lt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290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25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KAPA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Taq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DNA Polymerase Recombinant, KAPA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Biosystems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KK1015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 x 500 units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Single channel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micoliter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pipette LLG-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proMLP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0.5-10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l, LLG 6.270 421,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Single channel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micoliter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pipette LLG-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proMLP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2-20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l, LLG 6.270 422,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589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Μειωτήρας αζώτου 1.5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bar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LINDE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κωδ:85-000,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Acrylamide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 electrophoresis, ≥99% (HPLC), powder, Sigma A3553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  <w:t>Ethanol, 99.8+%, for analysis, absolute, AR, meets the spec. of BP and Ph. Eur., Fisher E/0650DF/17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Methyl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Desoxycholate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crystalline, Santa Cruz sc-218806,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250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32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HyClone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McCoy's 5A medium with L-glutamine, sodium bicarbonate, GE Healthcare SH30200.01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  <w:r w:rsidRPr="00CC75DD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500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33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Sebacoyl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chloride, 92%, technical, </w:t>
            </w: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294902500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34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N-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Ethyldiisopropylamine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99%, Alfa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Aesar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A11801,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1238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TLC Silica gel 60, aluminum sheets 20 x 20cm, Merck 1.05553.0001,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Πακ/25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Bovine Serum Albumin </w:t>
            </w:r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lyophilized powder, ≥96% (</w:t>
            </w:r>
            <w:proofErr w:type="spellStart"/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agarose</w:t>
            </w:r>
            <w:proofErr w:type="spellEnd"/>
            <w:r w:rsidRPr="00CC75D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 xml:space="preserve"> gel electrophoresis), Sigma A2153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lastRenderedPageBreak/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100g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N,N-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Diisopropylethylamine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(DIPEA), Roth 4105.3,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1lt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295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38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hd w:val="clear" w:color="auto" w:fill="FFFFFF"/>
              <w:spacing w:after="0" w:line="240" w:lineRule="auto"/>
              <w:outlineLvl w:val="1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JT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010 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small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 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molecule</w:t>
            </w:r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CC75DD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Tocris</w:t>
            </w:r>
            <w:proofErr w:type="spellEnd"/>
            <w:r w:rsidRPr="00CC75DD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 xml:space="preserve"> 6269/25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25mg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285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39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pStyle w:val="1"/>
              <w:shd w:val="clear" w:color="auto" w:fill="FFFFFF"/>
              <w:spacing w:before="0"/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IPTG </w:t>
            </w:r>
            <w:proofErr w:type="spellStart"/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BioChemica</w:t>
            </w:r>
            <w:proofErr w:type="spellEnd"/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Assay (HPLC): min. 99 %, </w:t>
            </w:r>
            <w:proofErr w:type="spellStart"/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Applichem</w:t>
            </w:r>
            <w:proofErr w:type="spellEnd"/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A1008,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ή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άλλου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οίκου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πάντα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όμως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ίδιων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 xml:space="preserve"> </w:t>
            </w:r>
            <w:r w:rsidRPr="00CC75DD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iTaq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Universal SYBR® Green One-Step Kit,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Biorad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172-5150,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Kit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B2C0E" w:rsidRPr="00CC75DD" w:rsidTr="008B2C0E">
        <w:trPr>
          <w:trHeight w:val="602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41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Imidazole</w:t>
            </w:r>
            <w:proofErr w:type="spellEnd"/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Merck</w:t>
            </w:r>
            <w:r w:rsidRPr="00CC75DD">
              <w:rPr>
                <w:rFonts w:ascii="Segoe UI" w:hAnsi="Segoe UI" w:cs="Segoe UI"/>
                <w:sz w:val="20"/>
                <w:szCs w:val="20"/>
              </w:rPr>
              <w:t xml:space="preserve"> 1.04716.0050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50g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C0E" w:rsidRPr="00CC75DD" w:rsidTr="008B2C0E">
        <w:trPr>
          <w:trHeight w:val="237"/>
          <w:jc w:val="center"/>
        </w:trPr>
        <w:tc>
          <w:tcPr>
            <w:tcW w:w="648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C75DD">
              <w:rPr>
                <w:rFonts w:ascii="Segoe UI" w:hAnsi="Segoe UI" w:cs="Segoe UI"/>
                <w:sz w:val="20"/>
                <w:szCs w:val="20"/>
                <w:lang w:val="en-US"/>
              </w:rPr>
              <w:t>42</w:t>
            </w:r>
          </w:p>
        </w:tc>
        <w:tc>
          <w:tcPr>
            <w:tcW w:w="2790" w:type="dxa"/>
          </w:tcPr>
          <w:p w:rsidR="008B2C0E" w:rsidRPr="00CC75DD" w:rsidRDefault="008B2C0E" w:rsidP="0075409B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Nunc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MicroWell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96-Well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Microplates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Scientific 167008,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CC75D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10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75D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8B2C0E" w:rsidRPr="00CC75DD" w:rsidRDefault="008B2C0E" w:rsidP="007540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8B2C0E" w:rsidRPr="00CC75DD" w:rsidRDefault="008B2C0E" w:rsidP="008B2C0E">
      <w:pPr>
        <w:rPr>
          <w:rFonts w:ascii="Segoe UI" w:hAnsi="Segoe UI" w:cs="Segoe UI"/>
          <w:sz w:val="20"/>
          <w:szCs w:val="20"/>
          <w:lang w:val="en-US"/>
        </w:rPr>
      </w:pPr>
    </w:p>
    <w:p w:rsidR="008B2C0E" w:rsidRPr="009706FF" w:rsidRDefault="008B2C0E" w:rsidP="008B2C0E">
      <w:pPr>
        <w:tabs>
          <w:tab w:val="left" w:pos="3255"/>
        </w:tabs>
        <w:rPr>
          <w:rFonts w:ascii="Segoe UI" w:hAnsi="Segoe UI" w:cs="Segoe UI"/>
          <w:sz w:val="20"/>
          <w:szCs w:val="20"/>
          <w:lang w:val="en-US"/>
        </w:rPr>
      </w:pPr>
    </w:p>
    <w:p w:rsidR="00E61E12" w:rsidRDefault="00E61E12"/>
    <w:sectPr w:rsidR="00E61E12" w:rsidSect="008B2C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B2C0E"/>
    <w:rsid w:val="008B2C0E"/>
    <w:rsid w:val="00E6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8B2C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2C0E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customStyle="1" w:styleId="Default">
    <w:name w:val="Default"/>
    <w:rsid w:val="008B2C0E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3">
    <w:name w:val="Emphasis"/>
    <w:uiPriority w:val="20"/>
    <w:qFormat/>
    <w:rsid w:val="008B2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2019-04-01T11:28:00Z</dcterms:created>
  <dcterms:modified xsi:type="dcterms:W3CDTF">2019-04-01T11:29:00Z</dcterms:modified>
</cp:coreProperties>
</file>